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8872185"/>
      <w:bookmarkStart w:id="1" w:name="_Toc469067200"/>
      <w:bookmarkStart w:id="2" w:name="_Toc4692366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eastAsia="黑体" w:cs="Times New Roman"/>
          <w:b/>
          <w:sz w:val="84"/>
          <w:szCs w:val="84"/>
        </w:rPr>
        <w:t>嘉树镇土地利用总体规划（</w:t>
      </w:r>
      <w:r>
        <w:rPr>
          <w:rFonts w:ascii="Times New Roman" w:hAnsi="Times New Roman" w:eastAsia="黑体" w:cs="Times New Roman"/>
          <w:b/>
          <w:sz w:val="84"/>
          <w:szCs w:val="84"/>
        </w:rPr>
        <w:t>20</w:t>
      </w:r>
      <w:r>
        <w:rPr>
          <w:rFonts w:hint="eastAsia" w:ascii="Times New Roman" w:hAnsi="Times New Roman" w:eastAsia="黑体" w:cs="Times New Roman"/>
          <w:b/>
          <w:sz w:val="84"/>
          <w:szCs w:val="84"/>
        </w:rPr>
        <w:t>06</w:t>
      </w:r>
      <w:r>
        <w:rPr>
          <w:rFonts w:ascii="Times New Roman" w:hAnsi="Times New Roman" w:eastAsia="黑体" w:cs="Times New Roman"/>
          <w:b/>
          <w:sz w:val="84"/>
          <w:szCs w:val="84"/>
        </w:rPr>
        <w:t>-2020</w:t>
      </w:r>
      <w:r>
        <w:rPr>
          <w:rFonts w:ascii="Times New Roman" w:eastAsia="黑体" w:cs="Times New Roman"/>
          <w:b/>
          <w:sz w:val="84"/>
          <w:szCs w:val="84"/>
        </w:rPr>
        <w:t>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</w:t>
      </w:r>
      <w:r>
        <w:rPr>
          <w:rFonts w:ascii="Times New Roman" w:eastAsia="黑体" w:cs="Times New Roman"/>
          <w:b/>
          <w:sz w:val="84"/>
          <w:szCs w:val="84"/>
        </w:rPr>
        <w:t>年调整完善方案</w:t>
      </w:r>
    </w:p>
    <w:p>
      <w:pPr>
        <w:spacing w:beforeLines="100" w:afterLines="100"/>
        <w:jc w:val="center"/>
        <w:rPr>
          <w:szCs w:val="28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jc w:val="center"/>
        <w:rPr>
          <w:rFonts w:eastAsia="黑体"/>
          <w:b/>
          <w:sz w:val="30"/>
          <w:szCs w:val="30"/>
        </w:rPr>
      </w:pP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eastAsia="黑体"/>
          <w:spacing w:val="86"/>
          <w:kern w:val="0"/>
          <w:sz w:val="48"/>
          <w:szCs w:val="44"/>
        </w:rPr>
      </w:pPr>
      <w:r>
        <w:rPr>
          <w:rFonts w:hint="eastAsia" w:eastAsia="黑体"/>
          <w:spacing w:val="86"/>
          <w:kern w:val="0"/>
          <w:sz w:val="48"/>
          <w:szCs w:val="44"/>
          <w:fitText w:val="4400" w:id="0"/>
        </w:rPr>
        <w:t>嘉树</w:t>
      </w:r>
      <w:r>
        <w:rPr>
          <w:rFonts w:eastAsia="黑体"/>
          <w:spacing w:val="86"/>
          <w:kern w:val="0"/>
          <w:sz w:val="48"/>
          <w:szCs w:val="44"/>
          <w:fitText w:val="4400" w:id="0"/>
        </w:rPr>
        <w:t>镇人民政</w:t>
      </w:r>
      <w:r>
        <w:rPr>
          <w:rFonts w:eastAsia="黑体"/>
          <w:spacing w:val="4"/>
          <w:kern w:val="0"/>
          <w:sz w:val="48"/>
          <w:szCs w:val="44"/>
          <w:fitText w:val="4400" w:id="0"/>
        </w:rPr>
        <w:t>府</w:t>
      </w: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eastAsia="黑体"/>
          <w:spacing w:val="86"/>
          <w:kern w:val="0"/>
          <w:sz w:val="48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23814" w:h="16839"/>
          <w:pgMar w:top="1440" w:right="1588" w:bottom="1440" w:left="1588" w:header="851" w:footer="992" w:gutter="0"/>
          <w:pgNumType w:fmt="upperRoman"/>
          <w:cols w:space="720" w:num="1"/>
          <w:titlePg/>
          <w:docGrid w:type="lines" w:linePitch="381" w:charSpace="0"/>
        </w:sectPr>
      </w:pPr>
      <w:r>
        <w:rPr>
          <w:rFonts w:eastAsia="黑体"/>
          <w:spacing w:val="87"/>
          <w:kern w:val="0"/>
          <w:sz w:val="48"/>
          <w:szCs w:val="44"/>
          <w:fitText w:val="4402" w:id="1"/>
        </w:rPr>
        <w:t>二〇一</w:t>
      </w:r>
      <w:r>
        <w:rPr>
          <w:rFonts w:hint="eastAsia" w:eastAsia="黑体"/>
          <w:spacing w:val="87"/>
          <w:kern w:val="0"/>
          <w:sz w:val="48"/>
          <w:szCs w:val="44"/>
          <w:fitText w:val="4402" w:id="1"/>
        </w:rPr>
        <w:t>七</w:t>
      </w:r>
      <w:r>
        <w:rPr>
          <w:rFonts w:eastAsia="黑体"/>
          <w:spacing w:val="87"/>
          <w:kern w:val="0"/>
          <w:sz w:val="48"/>
          <w:szCs w:val="44"/>
          <w:fitText w:val="4402" w:id="1"/>
        </w:rPr>
        <w:t>年</w:t>
      </w:r>
      <w:r>
        <w:rPr>
          <w:rFonts w:hint="eastAsia" w:eastAsia="黑体"/>
          <w:spacing w:val="87"/>
          <w:kern w:val="0"/>
          <w:sz w:val="48"/>
          <w:szCs w:val="44"/>
          <w:fitText w:val="4402" w:id="1"/>
        </w:rPr>
        <w:t>四</w:t>
      </w:r>
      <w:r>
        <w:rPr>
          <w:rFonts w:eastAsia="黑体"/>
          <w:spacing w:val="-1"/>
          <w:kern w:val="0"/>
          <w:sz w:val="48"/>
          <w:szCs w:val="44"/>
          <w:fitText w:val="4402" w:id="1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目录</w:t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"_Toc485830633"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一、基本情况</w:t>
      </w:r>
      <w:r>
        <w:tab/>
      </w:r>
      <w:r>
        <w:fldChar w:fldCharType="begin"/>
      </w:r>
      <w:r>
        <w:instrText xml:space="preserve"> PAGEREF _Toc485830633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"_Toc485830634" </w:instrText>
      </w:r>
      <w:r>
        <w:fldChar w:fldCharType="separate"/>
      </w:r>
      <w:r>
        <w:rPr>
          <w:rStyle w:val="16"/>
          <w:rFonts w:hint="eastAsia"/>
          <w:color w:val="auto"/>
        </w:rPr>
        <w:t>（一）行政区划调整</w:t>
      </w:r>
      <w:r>
        <w:tab/>
      </w:r>
      <w:r>
        <w:fldChar w:fldCharType="begin"/>
      </w:r>
      <w:r>
        <w:instrText xml:space="preserve"> PAGEREF _Toc485830634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"_Toc485830635" </w:instrText>
      </w:r>
      <w:r>
        <w:fldChar w:fldCharType="separate"/>
      </w:r>
      <w:r>
        <w:rPr>
          <w:rStyle w:val="16"/>
          <w:rFonts w:hint="eastAsia"/>
          <w:color w:val="auto"/>
        </w:rPr>
        <w:t>（二）地理区位</w:t>
      </w:r>
      <w:r>
        <w:tab/>
      </w:r>
      <w:r>
        <w:fldChar w:fldCharType="begin"/>
      </w:r>
      <w:r>
        <w:instrText xml:space="preserve"> PAGEREF _Toc485830635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"_Toc485830636" </w:instrText>
      </w:r>
      <w:r>
        <w:fldChar w:fldCharType="separate"/>
      </w:r>
      <w:r>
        <w:rPr>
          <w:rStyle w:val="16"/>
          <w:rFonts w:hint="eastAsia"/>
          <w:color w:val="auto"/>
        </w:rPr>
        <w:t>（三）经济发展</w:t>
      </w:r>
      <w:r>
        <w:tab/>
      </w:r>
      <w:r>
        <w:fldChar w:fldCharType="begin"/>
      </w:r>
      <w:r>
        <w:instrText xml:space="preserve"> PAGEREF _Toc485830636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"_Toc485830637" </w:instrText>
      </w:r>
      <w:r>
        <w:fldChar w:fldCharType="separate"/>
      </w:r>
      <w:r>
        <w:rPr>
          <w:rStyle w:val="16"/>
          <w:rFonts w:hint="eastAsia"/>
          <w:color w:val="auto"/>
        </w:rPr>
        <w:t>（四）土地利用现状</w:t>
      </w:r>
      <w:r>
        <w:tab/>
      </w:r>
      <w:r>
        <w:fldChar w:fldCharType="begin"/>
      </w:r>
      <w:r>
        <w:instrText xml:space="preserve"> PAGEREF _Toc485830637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"_Toc485830638"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二、规划修改期限与范围</w:t>
      </w:r>
      <w:r>
        <w:tab/>
      </w:r>
      <w:r>
        <w:fldChar w:fldCharType="begin"/>
      </w:r>
      <w:r>
        <w:instrText xml:space="preserve"> PAGEREF _Toc485830638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"_Toc485830639"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三、土地利用规划目标</w:t>
      </w:r>
      <w:r>
        <w:tab/>
      </w:r>
      <w:r>
        <w:fldChar w:fldCharType="begin"/>
      </w:r>
      <w:r>
        <w:instrText xml:space="preserve"> PAGEREF _Toc485830639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"_Toc485830640"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四、基本农田调整情况</w:t>
      </w:r>
      <w:r>
        <w:tab/>
      </w:r>
      <w:r>
        <w:fldChar w:fldCharType="begin"/>
      </w:r>
      <w:r>
        <w:instrText xml:space="preserve"> PAGEREF _Toc485830640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"_Toc485830641" </w:instrText>
      </w:r>
      <w:r>
        <w:fldChar w:fldCharType="separate"/>
      </w:r>
      <w:r>
        <w:rPr>
          <w:rStyle w:val="16"/>
          <w:rFonts w:hint="eastAsia"/>
          <w:color w:val="auto"/>
        </w:rPr>
        <w:t>（一）调出情况</w:t>
      </w:r>
      <w:r>
        <w:tab/>
      </w:r>
      <w:r>
        <w:fldChar w:fldCharType="begin"/>
      </w:r>
      <w:r>
        <w:instrText xml:space="preserve"> PAGEREF _Toc485830641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"_Toc485830642" </w:instrText>
      </w:r>
      <w:r>
        <w:fldChar w:fldCharType="separate"/>
      </w:r>
      <w:r>
        <w:rPr>
          <w:rStyle w:val="16"/>
          <w:rFonts w:hint="eastAsia"/>
          <w:color w:val="auto"/>
        </w:rPr>
        <w:t>（二）补划情况</w:t>
      </w:r>
      <w:r>
        <w:tab/>
      </w:r>
      <w:r>
        <w:fldChar w:fldCharType="begin"/>
      </w:r>
      <w:r>
        <w:instrText xml:space="preserve"> PAGEREF _Toc485830642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"_Toc485830643"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五、建设用地规模与布局调整</w:t>
      </w:r>
      <w:r>
        <w:tab/>
      </w:r>
      <w:r>
        <w:fldChar w:fldCharType="begin"/>
      </w:r>
      <w:r>
        <w:instrText xml:space="preserve"> PAGEREF _Toc485830643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"_Toc485830644" </w:instrText>
      </w:r>
      <w:r>
        <w:fldChar w:fldCharType="separate"/>
      </w:r>
      <w:r>
        <w:rPr>
          <w:rStyle w:val="16"/>
          <w:rFonts w:hint="eastAsia"/>
          <w:color w:val="auto"/>
        </w:rPr>
        <w:t>（一）城镇用地</w:t>
      </w:r>
      <w:r>
        <w:tab/>
      </w:r>
      <w:r>
        <w:fldChar w:fldCharType="begin"/>
      </w:r>
      <w:r>
        <w:instrText xml:space="preserve"> PAGEREF _Toc485830644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"_Toc485830645" </w:instrText>
      </w:r>
      <w:r>
        <w:fldChar w:fldCharType="separate"/>
      </w:r>
      <w:r>
        <w:rPr>
          <w:rStyle w:val="16"/>
          <w:rFonts w:hint="eastAsia"/>
          <w:color w:val="auto"/>
        </w:rPr>
        <w:t>（二）农村居民点用地</w:t>
      </w:r>
      <w:r>
        <w:tab/>
      </w:r>
      <w:r>
        <w:fldChar w:fldCharType="begin"/>
      </w:r>
      <w:r>
        <w:instrText xml:space="preserve"> PAGEREF _Toc485830645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"_Toc485830646" </w:instrText>
      </w:r>
      <w:r>
        <w:fldChar w:fldCharType="separate"/>
      </w:r>
      <w:r>
        <w:rPr>
          <w:rStyle w:val="16"/>
          <w:rFonts w:hint="eastAsia"/>
          <w:color w:val="auto"/>
        </w:rPr>
        <w:t>（三）采矿及其他独立建设用地</w:t>
      </w:r>
      <w:r>
        <w:tab/>
      </w:r>
      <w:r>
        <w:fldChar w:fldCharType="begin"/>
      </w:r>
      <w:r>
        <w:instrText xml:space="preserve"> PAGEREF _Toc485830646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"_Toc485830647" </w:instrText>
      </w:r>
      <w:r>
        <w:fldChar w:fldCharType="separate"/>
      </w:r>
      <w:r>
        <w:rPr>
          <w:rStyle w:val="16"/>
          <w:rFonts w:hint="eastAsia"/>
          <w:color w:val="auto"/>
        </w:rPr>
        <w:t>（四）交通水利用地</w:t>
      </w:r>
      <w:r>
        <w:tab/>
      </w:r>
      <w:r>
        <w:fldChar w:fldCharType="begin"/>
      </w:r>
      <w:r>
        <w:instrText xml:space="preserve"> PAGEREF _Toc485830647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"_Toc485830648" </w:instrText>
      </w:r>
      <w:r>
        <w:fldChar w:fldCharType="separate"/>
      </w:r>
      <w:r>
        <w:rPr>
          <w:rStyle w:val="16"/>
          <w:rFonts w:hint="eastAsia"/>
          <w:color w:val="auto"/>
        </w:rPr>
        <w:t>（五）其他建设用地</w:t>
      </w:r>
      <w:r>
        <w:tab/>
      </w:r>
      <w:r>
        <w:fldChar w:fldCharType="begin"/>
      </w:r>
      <w:r>
        <w:instrText xml:space="preserve"> PAGEREF _Toc485830648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"_Toc485830649"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六、土地分区调整情况</w:t>
      </w:r>
      <w:r>
        <w:tab/>
      </w:r>
      <w:r>
        <w:fldChar w:fldCharType="begin"/>
      </w:r>
      <w:r>
        <w:instrText xml:space="preserve"> PAGEREF _Toc485830649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"_Toc485830650" </w:instrText>
      </w:r>
      <w:r>
        <w:fldChar w:fldCharType="separate"/>
      </w:r>
      <w:r>
        <w:rPr>
          <w:rStyle w:val="16"/>
          <w:rFonts w:hint="eastAsia"/>
          <w:color w:val="auto"/>
        </w:rPr>
        <w:t>（一）土地用途分区修改</w:t>
      </w:r>
      <w:r>
        <w:tab/>
      </w:r>
      <w:r>
        <w:fldChar w:fldCharType="begin"/>
      </w:r>
      <w:r>
        <w:instrText xml:space="preserve"> PAGEREF _Toc485830650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"_Toc485830651" </w:instrText>
      </w:r>
      <w:r>
        <w:fldChar w:fldCharType="separate"/>
      </w:r>
      <w:r>
        <w:rPr>
          <w:rStyle w:val="16"/>
          <w:rFonts w:hint="eastAsia"/>
          <w:color w:val="auto"/>
        </w:rPr>
        <w:t>（二）建设用地管制分区修改</w:t>
      </w:r>
      <w:r>
        <w:tab/>
      </w:r>
      <w:r>
        <w:fldChar w:fldCharType="begin"/>
      </w:r>
      <w:r>
        <w:instrText xml:space="preserve"> PAGEREF _Toc485830651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1024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"_Toc485830652" </w:instrText>
      </w:r>
      <w:r>
        <w:fldChar w:fldCharType="separate"/>
      </w:r>
      <w:r>
        <w:rPr>
          <w:rStyle w:val="16"/>
          <w:rFonts w:hint="eastAsia" w:cs="Times New Roman"/>
          <w:color w:val="auto"/>
          <w:kern w:val="0"/>
        </w:rPr>
        <w:t>附表</w:t>
      </w:r>
      <w:r>
        <w:tab/>
      </w:r>
      <w:r>
        <w:fldChar w:fldCharType="begin"/>
      </w:r>
      <w:r>
        <w:instrText xml:space="preserve"> PAGEREF _Toc485830652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"_Toc485830653"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1  </w:t>
      </w:r>
      <w:r>
        <w:rPr>
          <w:rStyle w:val="16"/>
          <w:rFonts w:hint="eastAsia"/>
          <w:color w:val="auto"/>
        </w:rPr>
        <w:t>嘉树镇土地利用现状表（</w:t>
      </w:r>
      <w:r>
        <w:rPr>
          <w:rStyle w:val="16"/>
          <w:color w:val="auto"/>
        </w:rPr>
        <w:t>2014</w:t>
      </w:r>
      <w:r>
        <w:rPr>
          <w:rStyle w:val="16"/>
          <w:rFonts w:hint="eastAsia"/>
          <w:color w:val="auto"/>
        </w:rPr>
        <w:t>年）</w:t>
      </w:r>
      <w:r>
        <w:tab/>
      </w:r>
      <w:r>
        <w:fldChar w:fldCharType="begin"/>
      </w:r>
      <w:r>
        <w:instrText xml:space="preserve"> PAGEREF _Toc485830653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"_Toc485830654"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2  </w:t>
      </w:r>
      <w:r>
        <w:rPr>
          <w:rStyle w:val="16"/>
          <w:rFonts w:hint="eastAsia"/>
          <w:color w:val="auto"/>
        </w:rPr>
        <w:t>嘉树镇土地利用结构调整表</w:t>
      </w:r>
      <w:r>
        <w:tab/>
      </w:r>
      <w:r>
        <w:fldChar w:fldCharType="begin"/>
      </w:r>
      <w:r>
        <w:instrText xml:space="preserve"> PAGEREF _Toc485830654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"_Toc485830655"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3  </w:t>
      </w:r>
      <w:r>
        <w:rPr>
          <w:rStyle w:val="16"/>
          <w:rFonts w:hint="eastAsia"/>
          <w:color w:val="auto"/>
        </w:rPr>
        <w:t>嘉树镇土地利用规划目标调整表</w:t>
      </w:r>
      <w:r>
        <w:tab/>
      </w:r>
      <w:r>
        <w:fldChar w:fldCharType="begin"/>
      </w:r>
      <w:r>
        <w:instrText xml:space="preserve"> PAGEREF _Toc485830655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"_Toc485830656"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4  </w:t>
      </w:r>
      <w:r>
        <w:rPr>
          <w:rStyle w:val="16"/>
          <w:rFonts w:hint="eastAsia"/>
          <w:color w:val="auto"/>
        </w:rPr>
        <w:t>嘉树镇落实上一级土地利用规划指标情况表</w:t>
      </w:r>
      <w:r>
        <w:tab/>
      </w:r>
      <w:r>
        <w:fldChar w:fldCharType="begin"/>
      </w:r>
      <w:r>
        <w:instrText xml:space="preserve"> PAGEREF _Toc485830656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"_Toc485830657"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5  </w:t>
      </w:r>
      <w:r>
        <w:rPr>
          <w:rStyle w:val="16"/>
          <w:rFonts w:hint="eastAsia"/>
          <w:color w:val="auto"/>
        </w:rPr>
        <w:t>调入区域规划调整前后对比表</w:t>
      </w:r>
      <w:r>
        <w:tab/>
      </w:r>
      <w:r>
        <w:fldChar w:fldCharType="begin"/>
      </w:r>
      <w:r>
        <w:instrText xml:space="preserve"> PAGEREF _Toc485830657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"_Toc485830658"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6  </w:t>
      </w:r>
      <w:r>
        <w:rPr>
          <w:rStyle w:val="16"/>
          <w:rFonts w:hint="eastAsia"/>
          <w:color w:val="auto"/>
        </w:rPr>
        <w:t>调出区域规划调整前后对比表</w:t>
      </w:r>
      <w:r>
        <w:tab/>
      </w:r>
      <w:r>
        <w:fldChar w:fldCharType="begin"/>
      </w:r>
      <w:r>
        <w:instrText xml:space="preserve"> PAGEREF _Toc485830658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"_Toc485830659"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7  </w:t>
      </w:r>
      <w:r>
        <w:rPr>
          <w:rStyle w:val="16"/>
          <w:rFonts w:hint="eastAsia"/>
          <w:color w:val="auto"/>
        </w:rPr>
        <w:t>嘉树镇耕地保有量和基本农田保护面积分解表</w:t>
      </w:r>
      <w:r>
        <w:tab/>
      </w:r>
      <w:r>
        <w:fldChar w:fldCharType="begin"/>
      </w:r>
      <w:r>
        <w:instrText xml:space="preserve"> PAGEREF _Toc485830659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"_Toc485830660"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8  </w:t>
      </w:r>
      <w:r>
        <w:rPr>
          <w:rStyle w:val="16"/>
          <w:rFonts w:hint="eastAsia"/>
          <w:color w:val="auto"/>
        </w:rPr>
        <w:t>嘉树镇土地用途分区修改情况表</w:t>
      </w:r>
      <w:r>
        <w:tab/>
      </w:r>
      <w:r>
        <w:fldChar w:fldCharType="begin"/>
      </w:r>
      <w:r>
        <w:instrText xml:space="preserve"> PAGEREF _Toc485830660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"_Toc485830661"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9  </w:t>
      </w:r>
      <w:r>
        <w:rPr>
          <w:rStyle w:val="16"/>
          <w:rFonts w:hint="eastAsia"/>
          <w:color w:val="auto"/>
        </w:rPr>
        <w:t>嘉树镇建设用地空间管制分区修改情况表</w:t>
      </w:r>
      <w:r>
        <w:tab/>
      </w:r>
      <w:r>
        <w:fldChar w:fldCharType="begin"/>
      </w:r>
      <w:r>
        <w:instrText xml:space="preserve"> PAGEREF _Toc485830661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"_Toc485830662"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10  </w:t>
      </w:r>
      <w:r>
        <w:rPr>
          <w:rStyle w:val="16"/>
          <w:rFonts w:hint="eastAsia"/>
          <w:color w:val="auto"/>
        </w:rPr>
        <w:t>嘉树镇</w:t>
      </w:r>
      <w:r>
        <w:rPr>
          <w:rStyle w:val="16"/>
          <w:color w:val="auto"/>
        </w:rPr>
        <w:t>2016-2020</w:t>
      </w:r>
      <w:r>
        <w:rPr>
          <w:rStyle w:val="16"/>
          <w:rFonts w:hint="eastAsia"/>
          <w:color w:val="auto"/>
        </w:rPr>
        <w:t>年重点建设用地项目规划表</w:t>
      </w:r>
      <w:r>
        <w:tab/>
      </w:r>
      <w:r>
        <w:fldChar w:fldCharType="begin"/>
      </w:r>
      <w:r>
        <w:instrText xml:space="preserve"> PAGEREF _Toc485830662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"_Toc485830663"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11  </w:t>
      </w:r>
      <w:r>
        <w:rPr>
          <w:rStyle w:val="16"/>
          <w:rFonts w:hint="eastAsia"/>
          <w:color w:val="auto"/>
        </w:rPr>
        <w:t>嘉树镇土地用途分区面积统计表</w:t>
      </w:r>
      <w:r>
        <w:tab/>
      </w:r>
      <w:r>
        <w:fldChar w:fldCharType="begin"/>
      </w:r>
      <w:r>
        <w:instrText xml:space="preserve"> PAGEREF _Toc485830663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"_Toc485830664" </w:instrText>
      </w:r>
      <w:r>
        <w:fldChar w:fldCharType="separate"/>
      </w:r>
      <w:r>
        <w:rPr>
          <w:rStyle w:val="16"/>
          <w:rFonts w:hint="eastAsia"/>
          <w:color w:val="auto"/>
        </w:rPr>
        <w:t>附表</w:t>
      </w:r>
      <w:r>
        <w:rPr>
          <w:rStyle w:val="16"/>
          <w:color w:val="auto"/>
        </w:rPr>
        <w:t xml:space="preserve">12  </w:t>
      </w:r>
      <w:r>
        <w:rPr>
          <w:rStyle w:val="16"/>
          <w:rFonts w:hint="eastAsia"/>
          <w:color w:val="auto"/>
        </w:rPr>
        <w:t>嘉树镇</w:t>
      </w:r>
      <w:r>
        <w:rPr>
          <w:rStyle w:val="16"/>
          <w:color w:val="auto"/>
        </w:rPr>
        <w:t>2006-2020</w:t>
      </w:r>
      <w:r>
        <w:rPr>
          <w:rStyle w:val="16"/>
          <w:rFonts w:hint="eastAsia"/>
          <w:color w:val="auto"/>
        </w:rPr>
        <w:t>年地类结构平衡表</w:t>
      </w:r>
      <w:r>
        <w:tab/>
      </w:r>
      <w:r>
        <w:fldChar w:fldCharType="begin"/>
      </w:r>
      <w:r>
        <w:instrText xml:space="preserve"> PAGEREF _Toc485830664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9" w:type="default"/>
          <w:type w:val="continuous"/>
          <w:pgSz w:w="23814" w:h="16839" w:orient="landscape"/>
          <w:pgMar w:top="1440" w:right="1440" w:bottom="1701" w:left="1440" w:header="851" w:footer="992" w:gutter="0"/>
          <w:pgNumType w:fmt="upperRoman" w:start="1"/>
          <w:cols w:space="720" w:num="2"/>
          <w:docGrid w:type="lines" w:linePitch="312" w:charSpace="0"/>
        </w:sectPr>
      </w:pPr>
      <w:bookmarkStart w:id="3" w:name="_Toc469235313"/>
      <w:bookmarkStart w:id="4" w:name="_Toc485830633"/>
      <w:bookmarkStart w:id="64" w:name="_GoBack"/>
      <w:bookmarkEnd w:id="64"/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" w:name="_Toc485830634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嘉树镇建制村合并调整的批复》（醴政函〔2016〕53号）：嘉树镇行政区域不作调整，行政村调整为7个行政村，全镇总人口2.5万人，镇人民政府驻嘉树村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830635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嘉树镇位于醴陵市南部，距市区14公里，东与泗汾镇接壤，西连茶山镇，南接明月镇，北邻孙家湾镇。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830636"/>
      <w:r>
        <w:rPr>
          <w:rFonts w:ascii="Times New Roman" w:hAnsi="Times New Roman" w:eastAsia="黑体" w:cs="Times New Roman"/>
          <w:sz w:val="30"/>
          <w:szCs w:val="30"/>
        </w:rPr>
        <w:t>（三）经济发展</w:t>
      </w:r>
      <w:bookmarkEnd w:id="7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嘉树镇工业发达，主要产业以生产</w:t>
      </w:r>
      <w:r>
        <w:fldChar w:fldCharType="begin"/>
      </w:r>
      <w:r>
        <w:instrText xml:space="preserve"> HYPERLINK "http://baike.baidu.com/subview/2329971/2329971.htm" \t "_blank"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炻瓷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为主，铺以电瓷、硅火泥等延伸产业，是全国闻名的“炻瓷之乡”，产品远销80多个国家和地区。嘉树镇大力实施农村公路路基拓宽改造工程，境内形成方便快捷的交通网络，是醴陵市第一个水泥路“村村通”的镇。是湖南省新农村建设十大魅力乡镇之一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8" w:name="_Toc469235315"/>
      <w:bookmarkStart w:id="9" w:name="_Toc485830637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2014年，嘉树镇土地总面积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6310.63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5522.93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87.52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689.23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10.92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98.47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1.56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0" w:name="_Toc485830638"/>
      <w:bookmarkStart w:id="11" w:name="_Toc469235316"/>
      <w:bookmarkStart w:id="12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0"/>
      <w:bookmarkEnd w:id="11"/>
      <w:bookmarkEnd w:id="12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规划范围为嘉树镇区域内的所有土地，土地总面积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结构表!R4C8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6310.63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3" w:name="_Toc469235317"/>
      <w:bookmarkStart w:id="14" w:name="_Toc485830639"/>
      <w:bookmarkStart w:id="15" w:name="_Toc233731124"/>
      <w:bookmarkStart w:id="16" w:name="_Toc233731296"/>
      <w:bookmarkStart w:id="17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br w:type="column"/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3"/>
      <w:bookmarkEnd w:id="14"/>
    </w:p>
    <w:bookmarkEnd w:id="15"/>
    <w:bookmarkEnd w:id="16"/>
    <w:bookmarkEnd w:id="17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1550.00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1346.82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27.82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680.96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568.54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70.60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80.83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77.11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D:\\醴陵调整完善\\表格(净2013)\\乡镇表格\\17嘉树镇\\乡镇规划附表.xlsx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31.54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8" w:name="_Toc469235327"/>
      <w:bookmarkStart w:id="19" w:name="_Toc485830640"/>
      <w:bookmarkStart w:id="20" w:name="_Toc469235320"/>
      <w:bookmarkStart w:id="21" w:name="_Toc145225166"/>
      <w:bookmarkStart w:id="22" w:name="_Toc204342104"/>
      <w:bookmarkStart w:id="23" w:name="_Toc229458166"/>
      <w:r>
        <w:rPr>
          <w:rFonts w:ascii="Times New Roman" w:hAnsi="Times New Roman" w:eastAsia="黑体" w:cs="Times New Roman"/>
          <w:kern w:val="0"/>
          <w:sz w:val="32"/>
          <w:szCs w:val="32"/>
        </w:rPr>
        <w:t>四、基本农田调整情况</w:t>
      </w:r>
      <w:bookmarkEnd w:id="18"/>
      <w:bookmarkEnd w:id="1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830641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24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29.64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9.83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公顷，分布在嘉树村、玉茶村；同时调出质量较差基本农田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19.81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公顷，主要分布在杉仙村、罗儒村。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5830642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25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17.91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耕基!R12C2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0.83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公顷，调入优质耕地增加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17.08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公顷，主要分布在新井村、豆田村。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划定后，石亭镇永久基本农田面积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耕基!R12C9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1346.92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耕基!R12C8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11.73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公顷），落实了基本农田保护任务，主要布局在镇域东部、南部、西部村落。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表1 嘉树镇基本农田布局调整情况表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369"/>
        <w:gridCol w:w="1301"/>
        <w:gridCol w:w="950"/>
        <w:gridCol w:w="1206"/>
        <w:gridCol w:w="1420"/>
        <w:gridCol w:w="993"/>
        <w:gridCol w:w="999"/>
        <w:gridCol w:w="10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0" w:type="dxa"/>
            <w:vMerge w:val="restart"/>
            <w:tcBorders>
              <w:top w:val="double" w:color="auto" w:sz="6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620" w:type="dxa"/>
            <w:gridSpan w:val="3"/>
            <w:tcBorders>
              <w:top w:val="double" w:color="auto" w:sz="6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3619" w:type="dxa"/>
            <w:gridSpan w:val="3"/>
            <w:tcBorders>
              <w:top w:val="double" w:color="auto" w:sz="6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999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净变化①-②</w:t>
            </w:r>
          </w:p>
        </w:tc>
        <w:tc>
          <w:tcPr>
            <w:tcW w:w="1055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30" w:type="dxa"/>
            <w:vMerge w:val="continue"/>
            <w:tcBorders>
              <w:top w:val="double" w:color="auto" w:sz="6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质量较差基本农田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99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1358.66 </w:t>
            </w:r>
          </w:p>
        </w:tc>
        <w:tc>
          <w:tcPr>
            <w:tcW w:w="1369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 xml:space="preserve">3 </w:t>
            </w:r>
          </w:p>
        </w:tc>
        <w:tc>
          <w:tcPr>
            <w:tcW w:w="1301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17.08 </w:t>
            </w:r>
          </w:p>
        </w:tc>
        <w:tc>
          <w:tcPr>
            <w:tcW w:w="95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17.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 xml:space="preserve">1 </w:t>
            </w:r>
          </w:p>
        </w:tc>
        <w:tc>
          <w:tcPr>
            <w:tcW w:w="1206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9.83 </w:t>
            </w:r>
          </w:p>
        </w:tc>
        <w:tc>
          <w:tcPr>
            <w:tcW w:w="142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19.81 </w:t>
            </w:r>
          </w:p>
        </w:tc>
        <w:tc>
          <w:tcPr>
            <w:tcW w:w="993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29.64 </w:t>
            </w:r>
          </w:p>
        </w:tc>
        <w:tc>
          <w:tcPr>
            <w:tcW w:w="999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</w:t>
            </w:r>
            <w:r>
              <w:rPr>
                <w:rFonts w:hint="eastAsia" w:ascii="Times New Roman" w:hAnsi="Times New Roman" w:cs="Times New Roman"/>
                <w:szCs w:val="21"/>
              </w:rPr>
              <w:t>73</w:t>
            </w:r>
          </w:p>
        </w:tc>
        <w:tc>
          <w:tcPr>
            <w:tcW w:w="105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1346.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 xml:space="preserve">2 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5830643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0"/>
      <w:bookmarkEnd w:id="26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7" w:name="_Toc485830644"/>
      <w:bookmarkStart w:id="28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7"/>
      <w:bookmarkEnd w:id="28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sz w:val="28"/>
          <w:szCs w:val="28"/>
        </w:rPr>
        <w:t>城镇用地调入增加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城!R5C4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10.53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公顷，主要位于嘉树村、玉茶村，用于嘉树新集镇建设。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规划修改城镇用地无切块调出。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0.10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10.63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10.53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表2嘉树镇城镇用地布局调整情况表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007"/>
        <w:gridCol w:w="1937"/>
        <w:gridCol w:w="1937"/>
        <w:gridCol w:w="193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10.53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10.53 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10.63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9" w:name="_Toc485830645"/>
      <w:bookmarkStart w:id="30" w:name="_Toc469235322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9"/>
      <w:bookmarkEnd w:id="30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“农民集中居住、农业集中经营、农田集中耕作”的理念，结合易地扶贫搬迁安置工程及新农村建设，对嘉树镇农村居民点用地布局进行调整。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10.43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公顷，全部为切块调入增加，主要分布在豆田村。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4"/>
        </w:rPr>
        <w:t>规划修改因共减少农村居民点用地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D:\\醴陵调整完善\\表格(净2013)\\乡镇表格\\17嘉树镇\\乡镇规划附表.xlsx 农!R5C9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10.22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公顷，其中：调出减少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D:\\醴陵调整完善\\表格(净2013)\\乡镇表格\\17嘉树镇\\乡镇规划附表.xlsx 农!R5C5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0.73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公顷，建设用地内部转换减少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D:\\醴陵调整完善\\表格(净2013)\\乡镇表格\\17嘉树镇\\乡镇规划附表.xlsx 农!R5C6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9.49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公顷，主要为醴陵锉断坳至杉仙殿公路占用，分布在新井村、嘉树村、玉茶村。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D:\\醴陵调整完善\\表格(净2013)\\乡镇表格\\17嘉树镇\\乡镇规划附表.xlsx 农!R5C1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497.73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D:\\醴陵调整完善\\表格(净2013)\\乡镇表格\\17嘉树镇\\乡镇规划附表.xlsx 农!R5C11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497.94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增加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D:\\醴陵调整完善\\表格(净2013)\\乡镇表格\\17嘉树镇\\乡镇规划附表.xlsx 农!R5C10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0.21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表3嘉树镇农村居民点用地布局调整情况表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888"/>
        <w:gridCol w:w="1276"/>
        <w:gridCol w:w="935"/>
        <w:gridCol w:w="974"/>
        <w:gridCol w:w="1301"/>
        <w:gridCol w:w="1138"/>
        <w:gridCol w:w="974"/>
        <w:gridCol w:w="14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4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3099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3413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97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42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4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切块调出还原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建设用地内部转换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7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497.73</w:t>
            </w:r>
          </w:p>
        </w:tc>
        <w:tc>
          <w:tcPr>
            <w:tcW w:w="88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10.43 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3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10.43 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0.73 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9.49 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10.22 </w:t>
            </w:r>
          </w:p>
        </w:tc>
        <w:tc>
          <w:tcPr>
            <w:tcW w:w="9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142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497.94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1" w:name="_Toc485830646"/>
      <w:bookmarkStart w:id="32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1"/>
      <w:bookmarkEnd w:id="32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：规划修改调入增加采矿及其他独立建设用地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采独!R5C2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3.95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公顷，位于渗泉村和新井村，用于花炮企业改建和集体矿业建设。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15.38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公顷，其中：因调出减少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采独!R5C5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14.57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公顷，因建设用地内部转换减少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采独!R5C6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0.82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公顷，主要位于新井村、渗泉村现状优质耕地区域。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71.40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59.97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11.43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表4嘉树镇采矿及其他独立建设用地布局调整情况表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01"/>
        <w:gridCol w:w="991"/>
        <w:gridCol w:w="1290"/>
        <w:gridCol w:w="1290"/>
        <w:gridCol w:w="1146"/>
        <w:gridCol w:w="1138"/>
        <w:gridCol w:w="15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0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29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3726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13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57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0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建设用地内部转换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3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7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71.40 </w:t>
            </w:r>
          </w:p>
        </w:tc>
        <w:tc>
          <w:tcPr>
            <w:tcW w:w="130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3.95 </w:t>
            </w:r>
          </w:p>
        </w:tc>
        <w:tc>
          <w:tcPr>
            <w:tcW w:w="9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3.95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14.57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0.82 </w:t>
            </w:r>
          </w:p>
        </w:tc>
        <w:tc>
          <w:tcPr>
            <w:tcW w:w="114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15.38 </w:t>
            </w:r>
          </w:p>
        </w:tc>
        <w:tc>
          <w:tcPr>
            <w:tcW w:w="11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-11.43 </w:t>
            </w:r>
          </w:p>
        </w:tc>
        <w:tc>
          <w:tcPr>
            <w:tcW w:w="157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59.97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69235324"/>
      <w:bookmarkStart w:id="34" w:name="_Toc485830647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33"/>
      <w:bookmarkEnd w:id="34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</w:t>
      </w:r>
      <w:r>
        <w:rPr>
          <w:rFonts w:ascii="Times New Roman" w:hAnsi="Times New Roman" w:eastAsia="仿宋_GB2312" w:cs="Times New Roman"/>
          <w:sz w:val="28"/>
          <w:szCs w:val="24"/>
        </w:rPr>
        <w:t>醴陵锉断坳至杉仙殿公路建设调入交通水利用地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D:\\醴陵调整完善\\表格(净2013)\\乡镇表格\\17嘉树镇\\乡镇规划附表.xlsx 交!R5C4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19.43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</w:t>
      </w:r>
      <w:r>
        <w:rPr>
          <w:rFonts w:ascii="Times New Roman" w:hAnsi="Times New Roman" w:eastAsia="仿宋_GB2312" w:cs="Times New Roman"/>
          <w:sz w:val="28"/>
          <w:szCs w:val="24"/>
        </w:rPr>
        <w:t>，涉及沿线玉茶村、嘉树村、杉仙村、新井村。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规划修改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t>因调出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交通水利用地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LINK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D:\\醴陵调整完善\\表格(净2013)\\乡镇表格\\17嘉树镇\\乡镇规划附表.xlsx 交!R5C9 \a \t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10.08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t>公顷，为远景规划用地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修改后，交通水利用地规模由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D:\\醴陵调整完善\\表格(净2013)\\乡镇表格\\17嘉树镇\\乡镇规划附表.xlsx 交!R5C1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94.01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公顷调整为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D:\\醴陵调整完善\\表格(净2013)\\乡镇表格\\17嘉树镇\\乡镇规划附表.xlsx 交!R5C11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103.36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公顷，净增加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D:\\醴陵调整完善\\表格(净2013)\\乡镇表格\\17嘉树镇\\乡镇规划附表.xlsx 交!R5C10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9.35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5 </w:t>
      </w:r>
      <w:r>
        <w:rPr>
          <w:rFonts w:ascii="Times New Roman" w:hAnsi="Times New Roman" w:eastAsia="黑体" w:cs="Times New Roman"/>
          <w:sz w:val="24"/>
          <w:szCs w:val="24"/>
        </w:rPr>
        <w:t>嘉树镇</w:t>
      </w:r>
      <w:r>
        <w:rPr>
          <w:rFonts w:hint="eastAsia" w:ascii="Times New Roman" w:hAnsi="Times New Roman" w:eastAsia="黑体" w:cs="Times New Roman"/>
          <w:sz w:val="24"/>
          <w:szCs w:val="24"/>
        </w:rPr>
        <w:t>交通水利</w:t>
      </w:r>
      <w:r>
        <w:rPr>
          <w:rFonts w:ascii="Times New Roman" w:hAnsi="Times New Roman" w:eastAsia="黑体" w:cs="Times New Roman"/>
          <w:sz w:val="24"/>
          <w:szCs w:val="24"/>
        </w:rPr>
        <w:t>用地布局调整情况表</w:t>
      </w:r>
    </w:p>
    <w:p>
      <w:pPr>
        <w:spacing w:line="360" w:lineRule="auto"/>
        <w:ind w:firstLine="420" w:firstLineChars="200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1291"/>
        <w:gridCol w:w="1290"/>
        <w:gridCol w:w="1290"/>
        <w:gridCol w:w="1290"/>
        <w:gridCol w:w="1290"/>
        <w:gridCol w:w="12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58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387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29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29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91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9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94.01 </w:t>
            </w:r>
          </w:p>
        </w:tc>
        <w:tc>
          <w:tcPr>
            <w:tcW w:w="12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19.43 </w:t>
            </w:r>
          </w:p>
        </w:tc>
        <w:tc>
          <w:tcPr>
            <w:tcW w:w="12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19.43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10.08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10.08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9.35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103.36 </w:t>
            </w:r>
          </w:p>
        </w:tc>
      </w:tr>
    </w:tbl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85830648"/>
      <w:bookmarkStart w:id="36" w:name="_Toc469235325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5"/>
      <w:bookmarkEnd w:id="36"/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规划修改未涉及其他建设用地的调整，保持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begin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 D:\\醴陵调整完善\\表格(净2013)\\乡镇表格\\17嘉树镇\\乡镇规划附表.xlsx 其!R5C11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instrText xml:space="preserve">\a \t  \* MERGEFORMAT </w:instrTex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separate"/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1"/>
        </w:rPr>
        <w:t xml:space="preserve">9.06 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fldChar w:fldCharType="end"/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公顷不变。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85830649"/>
      <w:bookmarkStart w:id="38" w:name="_Toc469235329"/>
      <w:r>
        <w:rPr>
          <w:rFonts w:ascii="Times New Roman" w:hAnsi="Times New Roman" w:eastAsia="黑体" w:cs="Times New Roman"/>
          <w:kern w:val="0"/>
          <w:sz w:val="32"/>
          <w:szCs w:val="32"/>
        </w:rPr>
        <w:t>六、土地分区调整情况</w:t>
      </w:r>
      <w:bookmarkEnd w:id="37"/>
      <w:bookmarkEnd w:id="3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85830650"/>
      <w:bookmarkStart w:id="40" w:name="_Toc469235330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9"/>
      <w:bookmarkEnd w:id="40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根据土地利用的主导用途、限制条件，按照土地用途管制的要求，本次规划修改，将嘉树镇土地划分为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六</w:t>
      </w:r>
      <w:r>
        <w:rPr>
          <w:rFonts w:ascii="Times New Roman" w:hAnsi="Times New Roman" w:eastAsia="仿宋_GB2312" w:cs="Times New Roman"/>
          <w:sz w:val="28"/>
          <w:szCs w:val="32"/>
        </w:rPr>
        <w:t>个区，包括：基本农田保护区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用途区!R3C3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1545.97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公顷、一般农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地</w:t>
      </w:r>
      <w:r>
        <w:rPr>
          <w:rFonts w:ascii="Times New Roman" w:hAnsi="Times New Roman" w:eastAsia="仿宋_GB2312" w:cs="Times New Roman"/>
          <w:sz w:val="28"/>
          <w:szCs w:val="32"/>
        </w:rPr>
        <w:t>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用途区!R4C3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331.70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用途区!R5C3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10.77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用途区!R6C3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511.75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用途区!R7C3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60.58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用途区!R10C3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3446.16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公顷，分区面积及数量变化具体见附表8。</w:t>
      </w:r>
    </w:p>
    <w:bookmarkEnd w:id="21"/>
    <w:bookmarkEnd w:id="22"/>
    <w:bookmarkEnd w:id="23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1" w:name="_Toc485830651"/>
      <w:bookmarkStart w:id="4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1"/>
      <w:bookmarkEnd w:id="42"/>
    </w:p>
    <w:p>
      <w:pPr>
        <w:ind w:firstLine="56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为加强对城乡建设用地的空间管制，本次规划修改，根据土地管理需要，因地制宜地将规划范围内的土地划分为两个区，分别为允许建设区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管制区!R3C3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568.54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管制区!R5C3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5742.09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公顷，其中：允许建设区较修改前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减少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管制区!R3C4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0.69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公顷，限制建设区较修改前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D:\\醴陵调整完善\\表格(净2013)\\乡镇表格\\17嘉树镇\\乡镇规划附表.xlsx 管制区!R5C4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0.69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  <w:bookmarkStart w:id="43" w:name="_Toc469235332"/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br w:type="column"/>
      </w:r>
      <w:bookmarkStart w:id="44" w:name="_Toc485830652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3"/>
      <w:bookmarkEnd w:id="44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5" w:name="_Toc485830653"/>
      <w:r>
        <w:rPr>
          <w:rFonts w:ascii="Times New Roman" w:hAnsi="Times New Roman" w:eastAsia="黑体" w:cs="Times New Roman"/>
          <w:sz w:val="24"/>
          <w:szCs w:val="24"/>
        </w:rPr>
        <w:t>附表1  嘉树镇土地利用现状表（2014年）</w:t>
      </w:r>
      <w:bookmarkEnd w:id="45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38"/>
        <w:gridCol w:w="2630"/>
        <w:gridCol w:w="2387"/>
        <w:gridCol w:w="2141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795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45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795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6310.63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1572.80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24.92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25.00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3430.67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54.36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494.46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7.84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5522.93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87.52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1.31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554.43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8.79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19.05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574.79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9.11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105.38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1.67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9.06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689.23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10.92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54.12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44.35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98.47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1.56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23814" w:h="16839" w:orient="landscape"/>
          <w:pgMar w:top="1440" w:right="1440" w:bottom="1701" w:left="1440" w:header="851" w:footer="992" w:gutter="0"/>
          <w:pgNumType w:start="1"/>
          <w:cols w:space="720" w:num="2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6" w:name="_Toc469235333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7" w:name="_Toc485830654"/>
      <w:r>
        <w:rPr>
          <w:rFonts w:ascii="Times New Roman" w:hAnsi="Times New Roman" w:eastAsia="黑体" w:cs="Times New Roman"/>
          <w:sz w:val="24"/>
          <w:szCs w:val="24"/>
        </w:rPr>
        <w:t>附表2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嘉树镇土地利用结构调整表</w:t>
      </w:r>
      <w:bookmarkEnd w:id="47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55"/>
        <w:gridCol w:w="2013"/>
        <w:gridCol w:w="1823"/>
        <w:gridCol w:w="1751"/>
        <w:gridCol w:w="1823"/>
        <w:gridCol w:w="1641"/>
        <w:gridCol w:w="1861"/>
        <w:gridCol w:w="1751"/>
        <w:gridCol w:w="1713"/>
        <w:gridCol w:w="1713"/>
        <w:gridCol w:w="2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4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357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2005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46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61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年）</w:t>
            </w:r>
          </w:p>
        </w:tc>
        <w:tc>
          <w:tcPr>
            <w:tcW w:w="342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264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-2014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4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面积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比重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264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6310.63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6310.63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6310.63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6310.63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1555.10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24.64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1572.80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24.92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1564.30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24.79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1551.34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24.58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-21.46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25.15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25.00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82.35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81.79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3463.41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54.88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3430.67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54.36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3438.45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54.49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3442.93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54.56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492.36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494.46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7.84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471.17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7.47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469.67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7.44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-24.79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5536.02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87.73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5522.93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87.52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5556.27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88.05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5545.73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87.88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城乡建设用地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10.63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549.67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8.71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554.43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8.79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497.73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7.89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497.94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7.89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-56.49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17.39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0.28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19.05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17.66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16.84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53.74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43.12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567.16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8.99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574.79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9.11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569.23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9.02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568.54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9.01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97.16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1.54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105.38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1.67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94.01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1.49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103.36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1.64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9.20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0.15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9.06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9.06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9.06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673.52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10.67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689.23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10.92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672.30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10.65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680.96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10.79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-8.27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54.13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0.86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54.12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0.86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54.13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54.08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46.96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0.74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44.35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27.93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29.86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-14.49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101.09</w:t>
            </w:r>
          </w:p>
        </w:tc>
        <w:tc>
          <w:tcPr>
            <w:tcW w:w="17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1.60</w:t>
            </w:r>
          </w:p>
        </w:tc>
        <w:tc>
          <w:tcPr>
            <w:tcW w:w="18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98.47</w:t>
            </w:r>
          </w:p>
        </w:tc>
        <w:tc>
          <w:tcPr>
            <w:tcW w:w="16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1.56</w:t>
            </w:r>
          </w:p>
        </w:tc>
        <w:tc>
          <w:tcPr>
            <w:tcW w:w="186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82.06</w:t>
            </w:r>
          </w:p>
        </w:tc>
        <w:tc>
          <w:tcPr>
            <w:tcW w:w="17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1.30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83.94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1.33</w:t>
            </w:r>
          </w:p>
        </w:tc>
        <w:tc>
          <w:tcPr>
            <w:tcW w:w="264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-14.53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type w:val="continuous"/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8" w:name="_Toc485830655"/>
      <w:r>
        <w:rPr>
          <w:rFonts w:ascii="Times New Roman" w:hAnsi="Times New Roman" w:eastAsia="黑体" w:cs="Times New Roman"/>
          <w:sz w:val="24"/>
          <w:szCs w:val="24"/>
        </w:rPr>
        <w:t>附表3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嘉树镇</w:t>
      </w:r>
      <w:bookmarkEnd w:id="46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4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6996"/>
        <w:gridCol w:w="3989"/>
        <w:gridCol w:w="3240"/>
        <w:gridCol w:w="2889"/>
        <w:gridCol w:w="277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5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1564.30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1550.00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-14.30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1358.66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1346.82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-11.84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672.30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680.96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569.23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568.54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-0.69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71.50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70.60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-0.90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72.17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80.83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8.66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66.57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77.11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10.54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18.15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31.54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13.39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27.39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27.82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9" w:name="_Toc485830656"/>
      <w:bookmarkStart w:id="50" w:name="_Toc469235338"/>
      <w:r>
        <w:rPr>
          <w:rFonts w:ascii="Times New Roman" w:hAnsi="Times New Roman" w:eastAsia="黑体" w:cs="Times New Roman"/>
          <w:sz w:val="24"/>
          <w:szCs w:val="24"/>
        </w:rPr>
        <w:t>附表4  嘉树镇落实上一级土地利用规划指标情况表</w:t>
      </w:r>
      <w:bookmarkEnd w:id="49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09"/>
        <w:gridCol w:w="4006"/>
        <w:gridCol w:w="3676"/>
        <w:gridCol w:w="2335"/>
        <w:gridCol w:w="28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40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年目标①</w:t>
            </w:r>
          </w:p>
        </w:tc>
        <w:tc>
          <w:tcPr>
            <w:tcW w:w="367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年落实数②</w:t>
            </w:r>
          </w:p>
        </w:tc>
        <w:tc>
          <w:tcPr>
            <w:tcW w:w="233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①</w:t>
            </w:r>
          </w:p>
        </w:tc>
        <w:tc>
          <w:tcPr>
            <w:tcW w:w="286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1550.00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1551.34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1.34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1346.82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1346.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680.96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680.96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568.54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568.54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40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70.60</w:t>
            </w:r>
          </w:p>
        </w:tc>
        <w:tc>
          <w:tcPr>
            <w:tcW w:w="36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70.60</w:t>
            </w:r>
          </w:p>
        </w:tc>
        <w:tc>
          <w:tcPr>
            <w:tcW w:w="233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type w:val="continuous"/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bookmarkStart w:id="51" w:name="_Toc469235336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2" w:name="_Toc485830657"/>
      <w:r>
        <w:rPr>
          <w:rFonts w:ascii="Times New Roman" w:hAnsi="Times New Roman" w:eastAsia="黑体" w:cs="Times New Roman"/>
          <w:sz w:val="24"/>
          <w:szCs w:val="24"/>
        </w:rPr>
        <w:t>附表5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51"/>
      <w:bookmarkEnd w:id="52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7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29"/>
        <w:gridCol w:w="1438"/>
        <w:gridCol w:w="1874"/>
        <w:gridCol w:w="1430"/>
        <w:gridCol w:w="1643"/>
        <w:gridCol w:w="2280"/>
        <w:gridCol w:w="1648"/>
        <w:gridCol w:w="1430"/>
        <w:gridCol w:w="1125"/>
        <w:gridCol w:w="1329"/>
        <w:gridCol w:w="1234"/>
        <w:gridCol w:w="39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37" w:type="dxa"/>
            <w:gridSpan w:val="1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95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他</w:t>
            </w:r>
            <w:r>
              <w:rPr>
                <w:rFonts w:ascii="Times New Roman" w:hAnsi="Times New Roman" w:eastAsia="仿宋_GB2312" w:cs="Times New Roman"/>
                <w:szCs w:val="21"/>
              </w:rPr>
              <w:t>建设用地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95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6.92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0.10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3.09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0.42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10.53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8.90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0.08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0.96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0.34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10.43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2.56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0.13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0.03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0.26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0.82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3.95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6.92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0.25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2.41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0.47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9.33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19.43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他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25.29 </w:t>
            </w:r>
          </w:p>
        </w:tc>
        <w:tc>
          <w:tcPr>
            <w:tcW w:w="12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0.56 </w:t>
            </w:r>
          </w:p>
        </w:tc>
        <w:tc>
          <w:tcPr>
            <w:tcW w:w="14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6.49 </w:t>
            </w:r>
          </w:p>
        </w:tc>
        <w:tc>
          <w:tcPr>
            <w:tcW w:w="18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1.50 </w:t>
            </w:r>
          </w:p>
        </w:tc>
        <w:tc>
          <w:tcPr>
            <w:tcW w:w="14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9.49 </w:t>
            </w:r>
          </w:p>
        </w:tc>
        <w:tc>
          <w:tcPr>
            <w:tcW w:w="228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0.82 </w:t>
            </w:r>
          </w:p>
        </w:tc>
        <w:tc>
          <w:tcPr>
            <w:tcW w:w="16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12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0.05 </w:t>
            </w:r>
          </w:p>
        </w:tc>
        <w:tc>
          <w:tcPr>
            <w:tcW w:w="132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0.14 </w:t>
            </w:r>
          </w:p>
        </w:tc>
        <w:tc>
          <w:tcPr>
            <w:tcW w:w="12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44.34 </w:t>
            </w:r>
          </w:p>
        </w:tc>
        <w:tc>
          <w:tcPr>
            <w:tcW w:w="395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3" w:name="_Toc485830658"/>
      <w:bookmarkStart w:id="54" w:name="_Toc469235337"/>
      <w:r>
        <w:rPr>
          <w:rFonts w:ascii="Times New Roman" w:hAnsi="Times New Roman" w:eastAsia="黑体" w:cs="Times New Roman"/>
          <w:sz w:val="24"/>
          <w:szCs w:val="24"/>
        </w:rPr>
        <w:t>附表6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53"/>
      <w:bookmarkEnd w:id="54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047"/>
        <w:gridCol w:w="1051"/>
        <w:gridCol w:w="1047"/>
        <w:gridCol w:w="1266"/>
        <w:gridCol w:w="1257"/>
        <w:gridCol w:w="1678"/>
        <w:gridCol w:w="2313"/>
        <w:gridCol w:w="1472"/>
        <w:gridCol w:w="1682"/>
        <w:gridCol w:w="1257"/>
        <w:gridCol w:w="1262"/>
        <w:gridCol w:w="2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4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7512" w:type="dxa"/>
            <w:gridSpan w:val="12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4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0.73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0.16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9.33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1.09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11.40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0.82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2.08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10.08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11.90 </w:t>
            </w:r>
          </w:p>
        </w:tc>
        <w:tc>
          <w:tcPr>
            <w:tcW w:w="10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11.40 </w:t>
            </w:r>
          </w:p>
        </w:tc>
        <w:tc>
          <w:tcPr>
            <w:tcW w:w="12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0.97 </w:t>
            </w:r>
          </w:p>
        </w:tc>
        <w:tc>
          <w:tcPr>
            <w:tcW w:w="147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9.33 </w:t>
            </w:r>
          </w:p>
        </w:tc>
        <w:tc>
          <w:tcPr>
            <w:tcW w:w="16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2.08 </w:t>
            </w:r>
          </w:p>
        </w:tc>
        <w:tc>
          <w:tcPr>
            <w:tcW w:w="218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35.68 </w:t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type w:val="continuous"/>
          <w:pgSz w:w="23814" w:h="16839" w:orient="landscape"/>
          <w:pgMar w:top="1701" w:right="1134" w:bottom="1701" w:left="1440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85830659"/>
      <w:r>
        <w:rPr>
          <w:rFonts w:ascii="Times New Roman" w:hAnsi="Times New Roman" w:eastAsia="黑体" w:cs="Times New Roman"/>
          <w:sz w:val="24"/>
          <w:szCs w:val="24"/>
        </w:rPr>
        <w:t>附表7  嘉树镇耕地保有量和基本农田保护面积分解表</w:t>
      </w:r>
      <w:bookmarkEnd w:id="5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9"/>
        <w:tblW w:w="22385" w:type="dxa"/>
        <w:jc w:val="center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5301"/>
        <w:gridCol w:w="7060"/>
        <w:gridCol w:w="657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单位</w:t>
            </w:r>
          </w:p>
        </w:tc>
        <w:tc>
          <w:tcPr>
            <w:tcW w:w="7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规划年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耕地保有量</w:t>
            </w:r>
          </w:p>
        </w:tc>
        <w:tc>
          <w:tcPr>
            <w:tcW w:w="65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规划期间基本农田保护面积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豆田村</w:t>
            </w:r>
          </w:p>
        </w:tc>
        <w:tc>
          <w:tcPr>
            <w:tcW w:w="7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217.50 </w:t>
            </w:r>
          </w:p>
        </w:tc>
        <w:tc>
          <w:tcPr>
            <w:tcW w:w="65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205.83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嘉树村</w:t>
            </w:r>
          </w:p>
        </w:tc>
        <w:tc>
          <w:tcPr>
            <w:tcW w:w="7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203.52 </w:t>
            </w:r>
          </w:p>
        </w:tc>
        <w:tc>
          <w:tcPr>
            <w:tcW w:w="65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178.80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罗儒村</w:t>
            </w:r>
          </w:p>
        </w:tc>
        <w:tc>
          <w:tcPr>
            <w:tcW w:w="7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220.04 </w:t>
            </w:r>
          </w:p>
        </w:tc>
        <w:tc>
          <w:tcPr>
            <w:tcW w:w="65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183.38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杉仙村</w:t>
            </w:r>
          </w:p>
        </w:tc>
        <w:tc>
          <w:tcPr>
            <w:tcW w:w="7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256.12 </w:t>
            </w:r>
          </w:p>
        </w:tc>
        <w:tc>
          <w:tcPr>
            <w:tcW w:w="65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222.01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渗泉村</w:t>
            </w:r>
          </w:p>
        </w:tc>
        <w:tc>
          <w:tcPr>
            <w:tcW w:w="7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167.92 </w:t>
            </w:r>
          </w:p>
        </w:tc>
        <w:tc>
          <w:tcPr>
            <w:tcW w:w="65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153.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新井村</w:t>
            </w:r>
          </w:p>
        </w:tc>
        <w:tc>
          <w:tcPr>
            <w:tcW w:w="7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192.87 </w:t>
            </w:r>
          </w:p>
        </w:tc>
        <w:tc>
          <w:tcPr>
            <w:tcW w:w="65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175.76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玉茶村</w:t>
            </w:r>
          </w:p>
        </w:tc>
        <w:tc>
          <w:tcPr>
            <w:tcW w:w="7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293.38 </w:t>
            </w:r>
          </w:p>
        </w:tc>
        <w:tc>
          <w:tcPr>
            <w:tcW w:w="65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227.96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合计</w:t>
            </w:r>
          </w:p>
        </w:tc>
        <w:tc>
          <w:tcPr>
            <w:tcW w:w="53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</w:rPr>
              <w:t>嘉树镇</w:t>
            </w:r>
          </w:p>
        </w:tc>
        <w:tc>
          <w:tcPr>
            <w:tcW w:w="7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1551.34 </w:t>
            </w:r>
          </w:p>
        </w:tc>
        <w:tc>
          <w:tcPr>
            <w:tcW w:w="65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1346.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2 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type w:val="continuous"/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85830660"/>
      <w:r>
        <w:rPr>
          <w:rFonts w:ascii="Times New Roman" w:hAnsi="Times New Roman" w:eastAsia="黑体" w:cs="Times New Roman"/>
          <w:sz w:val="24"/>
          <w:szCs w:val="24"/>
        </w:rPr>
        <w:t>附表8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嘉树镇</w:t>
      </w:r>
      <w:bookmarkEnd w:id="50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5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4"/>
        <w:gridCol w:w="5516"/>
        <w:gridCol w:w="5516"/>
        <w:gridCol w:w="43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用途分区类型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2020年（修改前）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2020年（修改后）</w:t>
            </w:r>
          </w:p>
        </w:tc>
        <w:tc>
          <w:tcPr>
            <w:tcW w:w="437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修改后-修改前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基本农田保护区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1557.80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1545.97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-11.84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一般农地区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333.76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331.70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-2.06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0.24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10.77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村镇建设用地区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511.54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511.75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独立工矿用地区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72.01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60.58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-11.43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风景旅游用地区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9.06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-9.06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林业用地区</w:t>
            </w:r>
          </w:p>
        </w:tc>
        <w:tc>
          <w:tcPr>
            <w:tcW w:w="55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3441.69 </w:t>
            </w:r>
          </w:p>
        </w:tc>
        <w:tc>
          <w:tcPr>
            <w:tcW w:w="55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3446.16 </w:t>
            </w:r>
          </w:p>
        </w:tc>
        <w:tc>
          <w:tcPr>
            <w:tcW w:w="437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4.48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7" w:name="_Toc469235339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8" w:name="_Toc485830661"/>
      <w:r>
        <w:rPr>
          <w:rFonts w:ascii="Times New Roman" w:hAnsi="Times New Roman" w:eastAsia="黑体" w:cs="Times New Roman"/>
          <w:sz w:val="24"/>
          <w:szCs w:val="24"/>
        </w:rPr>
        <w:t>附表9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嘉树镇建设用地空间管制分区修改情况表</w:t>
      </w:r>
      <w:bookmarkEnd w:id="57"/>
      <w:bookmarkEnd w:id="5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7"/>
        <w:gridCol w:w="5529"/>
        <w:gridCol w:w="5529"/>
        <w:gridCol w:w="431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569.23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568.54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-0.69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5741.40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5742.09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0.69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6310.63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6310.63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bookmarkStart w:id="59" w:name="_Toc469235340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0" w:name="_Toc485830662"/>
      <w:r>
        <w:rPr>
          <w:rFonts w:ascii="Times New Roman" w:hAnsi="Times New Roman" w:eastAsia="黑体" w:cs="Times New Roman"/>
          <w:sz w:val="24"/>
          <w:szCs w:val="24"/>
        </w:rPr>
        <w:t>附表10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嘉树镇2016-2020年重点建设用地项目规划表</w:t>
      </w:r>
      <w:bookmarkEnd w:id="59"/>
      <w:bookmarkEnd w:id="60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0558"/>
        <w:gridCol w:w="2809"/>
        <w:gridCol w:w="575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醴陵锉断坳至杉仙殿公路（锉断坳至大障段）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升级改造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原S205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碧山至马恋公路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早禾塘-韶山公路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原S335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渌水航道建设工程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渡改桥项目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危桥改造项目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生命防护工程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码头改造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农村公路路基拓宽改造工程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招呼站建设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二、水利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长塘保护圈工程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渌江及支流治理工程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中小河流治理工程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三、能源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西气东输站场阀室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嘉树变电站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三、民生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豆田村农贸市场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农村饮水安全及水源工程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嘉树镇村级活动中心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养老服务配套工程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5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四、其他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醴陵市第四轮安全巡查烟花鞭炮企业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05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嘉树污水处理厂</w:t>
            </w: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57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type w:val="continuous"/>
          <w:pgSz w:w="23814" w:h="16839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5830663"/>
      <w:r>
        <w:rPr>
          <w:rFonts w:ascii="Times New Roman" w:hAnsi="Times New Roman" w:eastAsia="黑体" w:cs="Times New Roman"/>
          <w:sz w:val="24"/>
          <w:szCs w:val="24"/>
        </w:rPr>
        <w:t>附表11  嘉树镇土地用途分区面积统计表</w:t>
      </w:r>
      <w:bookmarkEnd w:id="61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3413"/>
        <w:gridCol w:w="2643"/>
        <w:gridCol w:w="2643"/>
        <w:gridCol w:w="2643"/>
        <w:gridCol w:w="2643"/>
        <w:gridCol w:w="2643"/>
        <w:gridCol w:w="21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序号</w:t>
            </w:r>
          </w:p>
        </w:tc>
        <w:tc>
          <w:tcPr>
            <w:tcW w:w="341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单位</w:t>
            </w:r>
          </w:p>
        </w:tc>
        <w:tc>
          <w:tcPr>
            <w:tcW w:w="264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基本农田保护区</w:t>
            </w:r>
          </w:p>
        </w:tc>
        <w:tc>
          <w:tcPr>
            <w:tcW w:w="264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一般农地区</w:t>
            </w:r>
          </w:p>
        </w:tc>
        <w:tc>
          <w:tcPr>
            <w:tcW w:w="264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城镇建设用地区</w:t>
            </w:r>
          </w:p>
        </w:tc>
        <w:tc>
          <w:tcPr>
            <w:tcW w:w="264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村镇建设用地区</w:t>
            </w:r>
          </w:p>
        </w:tc>
        <w:tc>
          <w:tcPr>
            <w:tcW w:w="264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独立工矿用地区</w:t>
            </w:r>
          </w:p>
        </w:tc>
        <w:tc>
          <w:tcPr>
            <w:tcW w:w="218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林业用地区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豆田村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219.06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19.98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0.47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63.52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15.96 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159.75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嘉树村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210.67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38.29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4.64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83.09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2.98 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505.56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罗儒村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214.66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55.29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61.20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0.40 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378.94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杉仙村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255.83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59.47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78.28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3.46 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534.22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渗泉村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169.46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29.46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56.25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23.24 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298.90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新井村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206.75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29.79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0.10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70.44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11.38 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378.99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玉茶村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269.54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99.43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5.57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98.96 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3.16 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1189.79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34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嘉树镇</w:t>
            </w:r>
          </w:p>
        </w:tc>
        <w:tc>
          <w:tcPr>
            <w:tcW w:w="2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1545.97 </w:t>
            </w:r>
          </w:p>
        </w:tc>
        <w:tc>
          <w:tcPr>
            <w:tcW w:w="2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331.70 </w:t>
            </w:r>
          </w:p>
        </w:tc>
        <w:tc>
          <w:tcPr>
            <w:tcW w:w="2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10.77 </w:t>
            </w:r>
          </w:p>
        </w:tc>
        <w:tc>
          <w:tcPr>
            <w:tcW w:w="2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511.75 </w:t>
            </w:r>
          </w:p>
        </w:tc>
        <w:tc>
          <w:tcPr>
            <w:tcW w:w="26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60.58 </w:t>
            </w:r>
          </w:p>
        </w:tc>
        <w:tc>
          <w:tcPr>
            <w:tcW w:w="218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3446.16 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2" w:name="_Toc469235341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3" w:name="_Toc485830664"/>
      <w:r>
        <w:rPr>
          <w:rFonts w:ascii="Times New Roman" w:hAnsi="Times New Roman" w:eastAsia="黑体" w:cs="Times New Roman"/>
          <w:sz w:val="24"/>
          <w:szCs w:val="24"/>
        </w:rPr>
        <w:t>附表12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嘉树镇2006-2020年地类结构平衡表</w:t>
      </w:r>
      <w:bookmarkEnd w:id="62"/>
      <w:bookmarkEnd w:id="63"/>
    </w:p>
    <w:p>
      <w:pPr>
        <w:widowControl/>
        <w:spacing w:line="240" w:lineRule="exact"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1456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581"/>
        <w:gridCol w:w="1045"/>
        <w:gridCol w:w="1045"/>
        <w:gridCol w:w="976"/>
        <w:gridCol w:w="976"/>
        <w:gridCol w:w="1045"/>
        <w:gridCol w:w="976"/>
        <w:gridCol w:w="794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779"/>
        <w:gridCol w:w="976"/>
        <w:gridCol w:w="976"/>
        <w:gridCol w:w="104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规划基期现状面积</w:t>
            </w:r>
          </w:p>
        </w:tc>
        <w:tc>
          <w:tcPr>
            <w:tcW w:w="15375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规划期间调整至其他地类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期间减少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净增减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6832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6310.63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5545.73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1551.34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81.79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3442.93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469.67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680.96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10.63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497.94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16.84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43.12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103.36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9.06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83.94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54.08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29.86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6310.63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5536.02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25.11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25.07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77.11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10.53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19.80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1.97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36.97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7.84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77.11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9.71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5545.73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1555.10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31.54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6.92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13.68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0.91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10.03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31.58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-3.76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1551.34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25.15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3.13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2.54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3.13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56.64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81.79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3463.41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1.74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1.74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32.21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3.09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3.98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18.90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5.50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33.95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-20.48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3442.93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492.36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23.33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23.33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10.23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2.05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5.50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1.93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33.56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-22.69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469.67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673.52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73.39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2.75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59.77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10.87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12.26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2.81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9.45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73.39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7.44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680.96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10.53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10.63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549.67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62.25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2.48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59.77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9.61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9.45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71.86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-51.73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497.94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17.39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2.52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2.52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2.52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-0.55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16.84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43.12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43.12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97.16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11.14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10.87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11.14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6.20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103.36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9.20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-0.14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9.06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101.09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13.43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13.43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3.72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3.34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17.15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-17.15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83.94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54.13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-0.05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54.08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46.96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13.43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13.43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3.67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3.34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17.10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-17.10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29.86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期间增加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86.82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27.82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59.77 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13.47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10.87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80.83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10.53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20.12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1.97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43.12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17.34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eastAsia="宋体" w:cs="Times New Roman"/>
          <w:kern w:val="0"/>
          <w:sz w:val="15"/>
          <w:szCs w:val="15"/>
        </w:rPr>
      </w:pPr>
    </w:p>
    <w:sectPr>
      <w:type w:val="continuous"/>
      <w:pgSz w:w="23814" w:h="16839" w:orient="landscape"/>
      <w:pgMar w:top="1701" w:right="1134" w:bottom="1701" w:left="144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149526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139AE"/>
    <w:rsid w:val="0001777F"/>
    <w:rsid w:val="00020FA6"/>
    <w:rsid w:val="000245B4"/>
    <w:rsid w:val="00027426"/>
    <w:rsid w:val="00030BCD"/>
    <w:rsid w:val="00044D4C"/>
    <w:rsid w:val="00047A70"/>
    <w:rsid w:val="00055331"/>
    <w:rsid w:val="000616FC"/>
    <w:rsid w:val="0007133B"/>
    <w:rsid w:val="000774E3"/>
    <w:rsid w:val="00096C78"/>
    <w:rsid w:val="000C0BE5"/>
    <w:rsid w:val="000D5448"/>
    <w:rsid w:val="000E2110"/>
    <w:rsid w:val="000E5936"/>
    <w:rsid w:val="000E778D"/>
    <w:rsid w:val="000F28AE"/>
    <w:rsid w:val="00123516"/>
    <w:rsid w:val="00125517"/>
    <w:rsid w:val="00133547"/>
    <w:rsid w:val="0015163B"/>
    <w:rsid w:val="00192C5D"/>
    <w:rsid w:val="001A4A54"/>
    <w:rsid w:val="001A4EE6"/>
    <w:rsid w:val="001B1A97"/>
    <w:rsid w:val="001B341D"/>
    <w:rsid w:val="001C7698"/>
    <w:rsid w:val="001D4287"/>
    <w:rsid w:val="00221F3B"/>
    <w:rsid w:val="00222AE9"/>
    <w:rsid w:val="00236D43"/>
    <w:rsid w:val="002448D7"/>
    <w:rsid w:val="00244F08"/>
    <w:rsid w:val="00245FEB"/>
    <w:rsid w:val="00261E6D"/>
    <w:rsid w:val="0026381D"/>
    <w:rsid w:val="00267712"/>
    <w:rsid w:val="002714D5"/>
    <w:rsid w:val="00274EA1"/>
    <w:rsid w:val="00291C0F"/>
    <w:rsid w:val="002950CA"/>
    <w:rsid w:val="002A198F"/>
    <w:rsid w:val="002C375B"/>
    <w:rsid w:val="002D0104"/>
    <w:rsid w:val="002E436E"/>
    <w:rsid w:val="002F19A6"/>
    <w:rsid w:val="002F4B8D"/>
    <w:rsid w:val="002F616A"/>
    <w:rsid w:val="002F76FA"/>
    <w:rsid w:val="00301C67"/>
    <w:rsid w:val="00307A6E"/>
    <w:rsid w:val="0033176E"/>
    <w:rsid w:val="00333DCC"/>
    <w:rsid w:val="003739D8"/>
    <w:rsid w:val="00376B47"/>
    <w:rsid w:val="00382431"/>
    <w:rsid w:val="003A4B01"/>
    <w:rsid w:val="003B6BDE"/>
    <w:rsid w:val="003E6551"/>
    <w:rsid w:val="003E6EAE"/>
    <w:rsid w:val="003F3CDD"/>
    <w:rsid w:val="00413139"/>
    <w:rsid w:val="00414AB2"/>
    <w:rsid w:val="00422DCF"/>
    <w:rsid w:val="00426F0C"/>
    <w:rsid w:val="00430AC9"/>
    <w:rsid w:val="00435627"/>
    <w:rsid w:val="00440C2C"/>
    <w:rsid w:val="00447D87"/>
    <w:rsid w:val="0045209F"/>
    <w:rsid w:val="0047264C"/>
    <w:rsid w:val="004B134B"/>
    <w:rsid w:val="004C0419"/>
    <w:rsid w:val="004D19D5"/>
    <w:rsid w:val="004D2F4E"/>
    <w:rsid w:val="004D492E"/>
    <w:rsid w:val="004E0095"/>
    <w:rsid w:val="004F0048"/>
    <w:rsid w:val="004F2ADC"/>
    <w:rsid w:val="00502A4F"/>
    <w:rsid w:val="00530243"/>
    <w:rsid w:val="00533601"/>
    <w:rsid w:val="0054454E"/>
    <w:rsid w:val="00572ADA"/>
    <w:rsid w:val="00590715"/>
    <w:rsid w:val="005954E2"/>
    <w:rsid w:val="005A503F"/>
    <w:rsid w:val="005A76A5"/>
    <w:rsid w:val="005D6BF7"/>
    <w:rsid w:val="005E0424"/>
    <w:rsid w:val="005E3361"/>
    <w:rsid w:val="005E33E0"/>
    <w:rsid w:val="005E486F"/>
    <w:rsid w:val="005F5835"/>
    <w:rsid w:val="00613ECC"/>
    <w:rsid w:val="006205D7"/>
    <w:rsid w:val="00621F74"/>
    <w:rsid w:val="00631CBE"/>
    <w:rsid w:val="00642E2B"/>
    <w:rsid w:val="00660E6E"/>
    <w:rsid w:val="00682740"/>
    <w:rsid w:val="006B3DA0"/>
    <w:rsid w:val="006B6A1C"/>
    <w:rsid w:val="006D6355"/>
    <w:rsid w:val="006F701C"/>
    <w:rsid w:val="00711C99"/>
    <w:rsid w:val="00761BD4"/>
    <w:rsid w:val="00774BB8"/>
    <w:rsid w:val="007931E7"/>
    <w:rsid w:val="007A0FC0"/>
    <w:rsid w:val="007B4C55"/>
    <w:rsid w:val="007B5C3E"/>
    <w:rsid w:val="007D2D10"/>
    <w:rsid w:val="007E2131"/>
    <w:rsid w:val="007E42E4"/>
    <w:rsid w:val="007E7C32"/>
    <w:rsid w:val="007F6113"/>
    <w:rsid w:val="007F7A53"/>
    <w:rsid w:val="0080432D"/>
    <w:rsid w:val="0080584E"/>
    <w:rsid w:val="008223EC"/>
    <w:rsid w:val="008233BE"/>
    <w:rsid w:val="00850984"/>
    <w:rsid w:val="00863938"/>
    <w:rsid w:val="008717E4"/>
    <w:rsid w:val="0088229C"/>
    <w:rsid w:val="00890CB1"/>
    <w:rsid w:val="00892E95"/>
    <w:rsid w:val="008B394D"/>
    <w:rsid w:val="008F2981"/>
    <w:rsid w:val="008F6073"/>
    <w:rsid w:val="00912565"/>
    <w:rsid w:val="00923725"/>
    <w:rsid w:val="0096076C"/>
    <w:rsid w:val="00964CAB"/>
    <w:rsid w:val="009676EF"/>
    <w:rsid w:val="009728D9"/>
    <w:rsid w:val="009B6B1A"/>
    <w:rsid w:val="009C0AB9"/>
    <w:rsid w:val="009C21BD"/>
    <w:rsid w:val="009D3F56"/>
    <w:rsid w:val="009E7E5D"/>
    <w:rsid w:val="009F1057"/>
    <w:rsid w:val="009F3C3E"/>
    <w:rsid w:val="009F418D"/>
    <w:rsid w:val="009F4EA4"/>
    <w:rsid w:val="00A154F8"/>
    <w:rsid w:val="00A15B83"/>
    <w:rsid w:val="00A3017E"/>
    <w:rsid w:val="00A46CED"/>
    <w:rsid w:val="00A71AB6"/>
    <w:rsid w:val="00A7227E"/>
    <w:rsid w:val="00AB4459"/>
    <w:rsid w:val="00AB7EC4"/>
    <w:rsid w:val="00AC10FD"/>
    <w:rsid w:val="00AE7A36"/>
    <w:rsid w:val="00AE7C2E"/>
    <w:rsid w:val="00AF3A9F"/>
    <w:rsid w:val="00AF59B8"/>
    <w:rsid w:val="00B05C92"/>
    <w:rsid w:val="00B07AC5"/>
    <w:rsid w:val="00B12EB1"/>
    <w:rsid w:val="00B17C6C"/>
    <w:rsid w:val="00B67745"/>
    <w:rsid w:val="00B72120"/>
    <w:rsid w:val="00BC692D"/>
    <w:rsid w:val="00BD43AB"/>
    <w:rsid w:val="00BF21C8"/>
    <w:rsid w:val="00C064D1"/>
    <w:rsid w:val="00C073B6"/>
    <w:rsid w:val="00C11C26"/>
    <w:rsid w:val="00C1630F"/>
    <w:rsid w:val="00C20050"/>
    <w:rsid w:val="00C33B57"/>
    <w:rsid w:val="00C360DA"/>
    <w:rsid w:val="00C63C8E"/>
    <w:rsid w:val="00C7492D"/>
    <w:rsid w:val="00C81972"/>
    <w:rsid w:val="00C9274C"/>
    <w:rsid w:val="00C944A5"/>
    <w:rsid w:val="00C95CFB"/>
    <w:rsid w:val="00CC0586"/>
    <w:rsid w:val="00CC7633"/>
    <w:rsid w:val="00CD4C0F"/>
    <w:rsid w:val="00CD5427"/>
    <w:rsid w:val="00CE0462"/>
    <w:rsid w:val="00CF003C"/>
    <w:rsid w:val="00CF4582"/>
    <w:rsid w:val="00D04505"/>
    <w:rsid w:val="00D07FAA"/>
    <w:rsid w:val="00D12925"/>
    <w:rsid w:val="00D143EE"/>
    <w:rsid w:val="00D41C80"/>
    <w:rsid w:val="00D4524B"/>
    <w:rsid w:val="00D51507"/>
    <w:rsid w:val="00D6289C"/>
    <w:rsid w:val="00D64D5A"/>
    <w:rsid w:val="00D95813"/>
    <w:rsid w:val="00DA34BB"/>
    <w:rsid w:val="00DA6A8E"/>
    <w:rsid w:val="00DC00DE"/>
    <w:rsid w:val="00DD29C0"/>
    <w:rsid w:val="00DE262E"/>
    <w:rsid w:val="00DE52BD"/>
    <w:rsid w:val="00DF5706"/>
    <w:rsid w:val="00DF660B"/>
    <w:rsid w:val="00DF7D81"/>
    <w:rsid w:val="00E079F4"/>
    <w:rsid w:val="00E205B1"/>
    <w:rsid w:val="00E27CEC"/>
    <w:rsid w:val="00E31F3E"/>
    <w:rsid w:val="00E50DF1"/>
    <w:rsid w:val="00E51271"/>
    <w:rsid w:val="00E60AB5"/>
    <w:rsid w:val="00E86863"/>
    <w:rsid w:val="00E951A9"/>
    <w:rsid w:val="00E956A3"/>
    <w:rsid w:val="00EA08CE"/>
    <w:rsid w:val="00EA79D2"/>
    <w:rsid w:val="00EC3B7B"/>
    <w:rsid w:val="00EC7344"/>
    <w:rsid w:val="00ED3BEF"/>
    <w:rsid w:val="00ED779D"/>
    <w:rsid w:val="00EE4504"/>
    <w:rsid w:val="00EE4B2C"/>
    <w:rsid w:val="00EE655F"/>
    <w:rsid w:val="00EE746A"/>
    <w:rsid w:val="00EF6746"/>
    <w:rsid w:val="00F1045C"/>
    <w:rsid w:val="00F109E4"/>
    <w:rsid w:val="00F41CCC"/>
    <w:rsid w:val="00F66B9B"/>
    <w:rsid w:val="00F713C5"/>
    <w:rsid w:val="00F725DC"/>
    <w:rsid w:val="00F73A5D"/>
    <w:rsid w:val="00F84ED7"/>
    <w:rsid w:val="00FC3845"/>
    <w:rsid w:val="00FC6726"/>
    <w:rsid w:val="00FD42AD"/>
    <w:rsid w:val="00FE57A4"/>
    <w:rsid w:val="408D6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79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uiPriority w:val="99"/>
    <w:rPr>
      <w:color w:val="0000FF" w:themeColor="hyperlink"/>
      <w:u w:val="single"/>
    </w:rPr>
  </w:style>
  <w:style w:type="character" w:styleId="17">
    <w:name w:val="footnote reference"/>
    <w:basedOn w:val="13"/>
    <w:uiPriority w:val="0"/>
    <w:rPr>
      <w:vertAlign w:val="superscript"/>
    </w:rPr>
  </w:style>
  <w:style w:type="table" w:styleId="19">
    <w:name w:val="Table Grid"/>
    <w:basedOn w:val="1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uiPriority w:val="0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qFormat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uiPriority w:val="0"/>
  </w:style>
  <w:style w:type="character" w:customStyle="1" w:styleId="29">
    <w:name w:val="文档结构图 Char1"/>
    <w:basedOn w:val="13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uiPriority w:val="0"/>
    <w:rPr>
      <w:rFonts w:ascii="宋体" w:hAnsi="Courier New"/>
    </w:rPr>
  </w:style>
  <w:style w:type="character" w:customStyle="1" w:styleId="33">
    <w:name w:val="txt1"/>
    <w:qFormat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uiPriority w:val="0"/>
    <w:rPr>
      <w:rFonts w:eastAsia="仿宋"/>
      <w:sz w:val="18"/>
      <w:szCs w:val="18"/>
    </w:rPr>
  </w:style>
  <w:style w:type="character" w:customStyle="1" w:styleId="49">
    <w:name w:val="biaoti1"/>
    <w:uiPriority w:val="0"/>
    <w:rPr>
      <w:b/>
      <w:bCs/>
      <w:sz w:val="49"/>
      <w:szCs w:val="49"/>
    </w:rPr>
  </w:style>
  <w:style w:type="character" w:customStyle="1" w:styleId="50">
    <w:name w:val="批注引用1"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qFormat/>
    <w:uiPriority w:val="0"/>
    <w:rPr>
      <w:vertAlign w:val="superscript"/>
    </w:rPr>
  </w:style>
  <w:style w:type="character" w:customStyle="1" w:styleId="57">
    <w:name w:val="批注主题 Char"/>
    <w:basedOn w:val="51"/>
    <w:link w:val="58"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uiPriority w:val="0"/>
    <w:rPr>
      <w:b/>
      <w:bCs/>
    </w:rPr>
  </w:style>
  <w:style w:type="paragraph" w:customStyle="1" w:styleId="59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uiPriority w:val="0"/>
    <w:rPr>
      <w:rFonts w:ascii="宋体"/>
    </w:rPr>
  </w:style>
  <w:style w:type="paragraph" w:customStyle="1" w:styleId="61">
    <w:name w:val="段"/>
    <w:link w:val="60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qFormat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uiPriority w:val="0"/>
    <w:rPr>
      <w:sz w:val="21"/>
      <w:szCs w:val="21"/>
    </w:rPr>
  </w:style>
  <w:style w:type="paragraph" w:customStyle="1" w:styleId="73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uiPriority w:val="0"/>
    <w:rPr>
      <w:color w:val="800080"/>
      <w:u w:val="single"/>
    </w:rPr>
  </w:style>
  <w:style w:type="paragraph" w:customStyle="1" w:styleId="75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uiPriority w:val="0"/>
    <w:rPr>
      <w:vertAlign w:val="superscript"/>
    </w:rPr>
  </w:style>
  <w:style w:type="paragraph" w:customStyle="1" w:styleId="77">
    <w:name w:val="批注主题2"/>
    <w:basedOn w:val="73"/>
    <w:next w:val="73"/>
    <w:uiPriority w:val="0"/>
    <w:rPr>
      <w:b/>
      <w:bCs/>
    </w:rPr>
  </w:style>
  <w:style w:type="paragraph" w:customStyle="1" w:styleId="78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79">
    <w:name w:val="批注框文本 Char1"/>
    <w:basedOn w:val="13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BF9A8D-0206-4DEE-B7AB-DE785D2E85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2905</Words>
  <Characters>16563</Characters>
  <Lines>138</Lines>
  <Paragraphs>38</Paragraphs>
  <TotalTime>917</TotalTime>
  <ScaleCrop>false</ScaleCrop>
  <LinksUpToDate>false</LinksUpToDate>
  <CharactersWithSpaces>19430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2017-07-02T09:52:00Z</cp:lastPrinted>
  <dcterms:modified xsi:type="dcterms:W3CDTF">2018-06-27T08:37:37Z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