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bookmarkStart w:id="0" w:name="_Toc468872185"/>
      <w:bookmarkStart w:id="1" w:name="_Toc469067200"/>
      <w:bookmarkStart w:id="2" w:name="_Toc469236685"/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hAnsi="Times New Roman" w:eastAsia="黑体" w:cs="Times New Roman"/>
          <w:b/>
          <w:sz w:val="84"/>
          <w:szCs w:val="84"/>
        </w:rPr>
        <w:t>东富镇土地利用总体规划（2006-2020年）</w:t>
      </w:r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hAnsi="Times New Roman" w:eastAsia="黑体" w:cs="Times New Roman"/>
          <w:b/>
          <w:sz w:val="84"/>
          <w:szCs w:val="84"/>
        </w:rPr>
        <w:t>2016年调整完善方案</w:t>
      </w:r>
    </w:p>
    <w:p>
      <w:pPr>
        <w:spacing w:beforeLines="100" w:afterLines="100"/>
        <w:jc w:val="center"/>
        <w:rPr>
          <w:rFonts w:ascii="Times New Roman" w:hAnsi="Times New Roman" w:cs="Times New Roman"/>
          <w:szCs w:val="28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tabs>
          <w:tab w:val="left" w:pos="13335"/>
          <w:tab w:val="left" w:pos="13755"/>
        </w:tabs>
        <w:spacing w:line="600" w:lineRule="exact"/>
        <w:jc w:val="center"/>
        <w:rPr>
          <w:rFonts w:ascii="Times New Roman" w:hAnsi="Times New Roman" w:eastAsia="黑体" w:cs="Times New Roman"/>
          <w:spacing w:val="86"/>
          <w:kern w:val="0"/>
          <w:sz w:val="48"/>
          <w:szCs w:val="44"/>
        </w:rPr>
      </w:pPr>
      <w:r>
        <w:rPr>
          <w:rFonts w:ascii="Times New Roman" w:hAnsi="Times New Roman" w:eastAsia="黑体" w:cs="Times New Roman"/>
          <w:spacing w:val="86"/>
          <w:kern w:val="0"/>
          <w:sz w:val="48"/>
          <w:szCs w:val="44"/>
          <w:fitText w:val="4400" w:id="0"/>
        </w:rPr>
        <w:t>东富镇人民政</w:t>
      </w:r>
      <w:r>
        <w:rPr>
          <w:rFonts w:ascii="Times New Roman" w:hAnsi="Times New Roman" w:eastAsia="黑体" w:cs="Times New Roman"/>
          <w:spacing w:val="4"/>
          <w:kern w:val="0"/>
          <w:sz w:val="48"/>
          <w:szCs w:val="44"/>
          <w:fitText w:val="4400" w:id="0"/>
        </w:rPr>
        <w:t>府</w:t>
      </w:r>
    </w:p>
    <w:p>
      <w:pPr>
        <w:tabs>
          <w:tab w:val="left" w:pos="13335"/>
          <w:tab w:val="left" w:pos="13755"/>
        </w:tabs>
        <w:spacing w:line="600" w:lineRule="exact"/>
        <w:jc w:val="center"/>
        <w:rPr>
          <w:rFonts w:ascii="Times New Roman" w:hAnsi="Times New Roman" w:eastAsia="黑体" w:cs="Times New Roman"/>
          <w:spacing w:val="86"/>
          <w:kern w:val="0"/>
          <w:sz w:val="48"/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23814" w:h="16839"/>
          <w:pgMar w:top="1440" w:right="1588" w:bottom="1440" w:left="1588" w:header="851" w:footer="992" w:gutter="0"/>
          <w:pgNumType w:fmt="upperRoman"/>
          <w:cols w:space="720" w:num="1"/>
          <w:titlePg/>
          <w:docGrid w:type="lines" w:linePitch="381" w:charSpace="0"/>
        </w:sectPr>
      </w:pPr>
      <w:r>
        <w:rPr>
          <w:rFonts w:ascii="Times New Roman" w:hAnsi="Times New Roman" w:eastAsia="黑体" w:cs="Times New Roman"/>
          <w:spacing w:val="87"/>
          <w:kern w:val="0"/>
          <w:sz w:val="48"/>
          <w:szCs w:val="44"/>
          <w:fitText w:val="4402" w:id="1"/>
        </w:rPr>
        <w:t>二〇一七年四</w:t>
      </w:r>
      <w:r>
        <w:rPr>
          <w:rFonts w:ascii="Times New Roman" w:hAnsi="Times New Roman" w:eastAsia="黑体" w:cs="Times New Roman"/>
          <w:spacing w:val="-1"/>
          <w:kern w:val="0"/>
          <w:sz w:val="48"/>
          <w:szCs w:val="44"/>
          <w:fitText w:val="4402" w:id="1"/>
        </w:rPr>
        <w:t>月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目</w:t>
      </w:r>
      <w:r>
        <w:rPr>
          <w:rFonts w:hint="eastAsia" w:ascii="Times New Roman" w:hAnsi="Times New Roman" w:eastAsia="黑体" w:cs="Times New Roman"/>
          <w:b/>
          <w:sz w:val="30"/>
          <w:szCs w:val="30"/>
        </w:rPr>
        <w:t xml:space="preserve">  </w:t>
      </w:r>
      <w:r>
        <w:rPr>
          <w:rFonts w:ascii="Times New Roman" w:hAnsi="Times New Roman" w:eastAsia="黑体" w:cs="Times New Roman"/>
          <w:b/>
          <w:sz w:val="30"/>
          <w:szCs w:val="30"/>
        </w:rPr>
        <w:t>录</w:t>
      </w:r>
    </w:p>
    <w:sdt>
      <w:sdtPr>
        <w:rPr>
          <w:rFonts w:cs="Times New Roman" w:asciiTheme="minorHAnsi" w:hAnsiTheme="minorHAnsi" w:eastAsiaTheme="minorEastAsia"/>
          <w:sz w:val="21"/>
          <w:lang w:val="zh-CN"/>
        </w:rPr>
        <w:id w:val="2422766"/>
        <w:docPartObj>
          <w:docPartGallery w:val="Table of Contents"/>
          <w:docPartUnique/>
        </w:docPartObj>
      </w:sdtPr>
      <w:sdtEndPr>
        <w:rPr>
          <w:rFonts w:cs="Times New Roman" w:asciiTheme="minorHAnsi" w:hAnsiTheme="minorHAnsi" w:eastAsiaTheme="minorEastAsia"/>
          <w:sz w:val="21"/>
          <w:lang w:val="en-US"/>
        </w:rPr>
      </w:sdtEndPr>
      <w:sdtContent>
        <w:p>
          <w:pPr>
            <w:pStyle w:val="10"/>
            <w:rPr>
              <w:rFonts w:cs="Times New Roman"/>
            </w:rPr>
          </w:pP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TOC \o "1-3" \h \z \u </w:instrText>
          </w:r>
          <w:r>
            <w:rPr>
              <w:rFonts w:cs="Times New Roman"/>
            </w:rPr>
            <w:fldChar w:fldCharType="separate"/>
          </w:r>
          <w:r>
            <w:fldChar w:fldCharType="begin"/>
          </w:r>
          <w:r>
            <w:instrText xml:space="preserve"> HYPERLINK \l "_Toc485830014" </w:instrText>
          </w:r>
          <w:r>
            <w:fldChar w:fldCharType="separate"/>
          </w:r>
          <w:r>
            <w:rPr>
              <w:rStyle w:val="16"/>
              <w:rFonts w:cs="Times New Roman"/>
              <w:kern w:val="0"/>
            </w:rPr>
            <w:t>一、基本情况</w:t>
          </w:r>
          <w:r>
            <w:rPr>
              <w:rFonts w:cs="Times New Roman"/>
            </w:rPr>
            <w:tab/>
          </w: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PAGEREF _Toc485830014 \h </w:instrText>
          </w:r>
          <w:r>
            <w:rPr>
              <w:rFonts w:cs="Times New Roman"/>
            </w:rPr>
            <w:fldChar w:fldCharType="separate"/>
          </w:r>
          <w:r>
            <w:rPr>
              <w:rFonts w:cs="Times New Roman"/>
            </w:rPr>
            <w:t>1</w:t>
          </w:r>
          <w:r>
            <w:rPr>
              <w:rFonts w:cs="Times New Roman"/>
            </w:rPr>
            <w:fldChar w:fldCharType="end"/>
          </w:r>
          <w:r>
            <w:rPr>
              <w:rFonts w:cs="Times New Roman"/>
            </w:rP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"_Toc485830015" </w:instrText>
          </w:r>
          <w:r>
            <w:fldChar w:fldCharType="separate"/>
          </w:r>
          <w:r>
            <w:rPr>
              <w:rStyle w:val="16"/>
            </w:rPr>
            <w:t>（一）行政区划调整</w:t>
          </w:r>
          <w:r>
            <w:tab/>
          </w:r>
          <w:r>
            <w:fldChar w:fldCharType="begin"/>
          </w:r>
          <w:r>
            <w:instrText xml:space="preserve"> PAGEREF _Toc485830015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"_Toc485830016" </w:instrText>
          </w:r>
          <w:r>
            <w:fldChar w:fldCharType="separate"/>
          </w:r>
          <w:r>
            <w:rPr>
              <w:rStyle w:val="16"/>
            </w:rPr>
            <w:t>（二）地理区位</w:t>
          </w:r>
          <w:r>
            <w:tab/>
          </w:r>
          <w:r>
            <w:fldChar w:fldCharType="begin"/>
          </w:r>
          <w:r>
            <w:instrText xml:space="preserve"> PAGEREF _Toc485830016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"_Toc485830017" </w:instrText>
          </w:r>
          <w:r>
            <w:fldChar w:fldCharType="separate"/>
          </w:r>
          <w:r>
            <w:rPr>
              <w:rStyle w:val="16"/>
            </w:rPr>
            <w:t>（三）经济发展</w:t>
          </w:r>
          <w:r>
            <w:tab/>
          </w:r>
          <w:r>
            <w:fldChar w:fldCharType="begin"/>
          </w:r>
          <w:r>
            <w:instrText xml:space="preserve"> PAGEREF _Toc485830017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"_Toc485830018" </w:instrText>
          </w:r>
          <w:r>
            <w:fldChar w:fldCharType="separate"/>
          </w:r>
          <w:r>
            <w:rPr>
              <w:rStyle w:val="16"/>
            </w:rPr>
            <w:t>（四）土地利用现状</w:t>
          </w:r>
          <w:r>
            <w:tab/>
          </w:r>
          <w:r>
            <w:fldChar w:fldCharType="begin"/>
          </w:r>
          <w:r>
            <w:instrText xml:space="preserve"> PAGEREF _Toc485830018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0"/>
            <w:rPr>
              <w:rFonts w:cs="Times New Roman" w:eastAsiaTheme="minorEastAsia"/>
              <w:sz w:val="21"/>
            </w:rPr>
          </w:pPr>
          <w:r>
            <w:fldChar w:fldCharType="begin"/>
          </w:r>
          <w:r>
            <w:instrText xml:space="preserve"> HYPERLINK \l "_Toc485830019" </w:instrText>
          </w:r>
          <w:r>
            <w:fldChar w:fldCharType="separate"/>
          </w:r>
          <w:r>
            <w:rPr>
              <w:rStyle w:val="16"/>
              <w:rFonts w:cs="Times New Roman"/>
              <w:kern w:val="0"/>
            </w:rPr>
            <w:t>二、规划修改期限与范围</w:t>
          </w:r>
          <w:r>
            <w:rPr>
              <w:rFonts w:cs="Times New Roman"/>
            </w:rPr>
            <w:tab/>
          </w: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PAGEREF _Toc485830019 \h </w:instrText>
          </w:r>
          <w:r>
            <w:rPr>
              <w:rFonts w:cs="Times New Roman"/>
            </w:rPr>
            <w:fldChar w:fldCharType="separate"/>
          </w:r>
          <w:r>
            <w:rPr>
              <w:rFonts w:cs="Times New Roman"/>
            </w:rPr>
            <w:t>1</w:t>
          </w:r>
          <w:r>
            <w:rPr>
              <w:rFonts w:cs="Times New Roman"/>
            </w:rPr>
            <w:fldChar w:fldCharType="end"/>
          </w:r>
          <w:r>
            <w:rPr>
              <w:rFonts w:cs="Times New Roman"/>
            </w:rPr>
            <w:fldChar w:fldCharType="end"/>
          </w:r>
        </w:p>
        <w:p>
          <w:pPr>
            <w:pStyle w:val="10"/>
            <w:rPr>
              <w:rFonts w:cs="Times New Roman" w:eastAsiaTheme="minorEastAsia"/>
              <w:sz w:val="21"/>
            </w:rPr>
          </w:pPr>
          <w:r>
            <w:fldChar w:fldCharType="begin"/>
          </w:r>
          <w:r>
            <w:instrText xml:space="preserve"> HYPERLINK \l "_Toc485830020" </w:instrText>
          </w:r>
          <w:r>
            <w:fldChar w:fldCharType="separate"/>
          </w:r>
          <w:r>
            <w:rPr>
              <w:rStyle w:val="16"/>
              <w:rFonts w:cs="Times New Roman"/>
              <w:kern w:val="0"/>
            </w:rPr>
            <w:t>三、土地利用规划目标</w:t>
          </w:r>
          <w:r>
            <w:rPr>
              <w:rFonts w:cs="Times New Roman"/>
            </w:rPr>
            <w:tab/>
          </w: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PAGEREF _Toc485830020 \h </w:instrText>
          </w:r>
          <w:r>
            <w:rPr>
              <w:rFonts w:cs="Times New Roman"/>
            </w:rPr>
            <w:fldChar w:fldCharType="separate"/>
          </w:r>
          <w:r>
            <w:rPr>
              <w:rFonts w:cs="Times New Roman"/>
            </w:rPr>
            <w:t>1</w:t>
          </w:r>
          <w:r>
            <w:rPr>
              <w:rFonts w:cs="Times New Roman"/>
            </w:rPr>
            <w:fldChar w:fldCharType="end"/>
          </w:r>
          <w:r>
            <w:rPr>
              <w:rFonts w:cs="Times New Roman"/>
            </w:rPr>
            <w:fldChar w:fldCharType="end"/>
          </w:r>
        </w:p>
        <w:p>
          <w:pPr>
            <w:pStyle w:val="10"/>
            <w:rPr>
              <w:rFonts w:cs="Times New Roman" w:eastAsiaTheme="minorEastAsia"/>
              <w:sz w:val="21"/>
            </w:rPr>
          </w:pPr>
          <w:r>
            <w:fldChar w:fldCharType="begin"/>
          </w:r>
          <w:r>
            <w:instrText xml:space="preserve"> HYPERLINK \l "_Toc485830021" </w:instrText>
          </w:r>
          <w:r>
            <w:fldChar w:fldCharType="separate"/>
          </w:r>
          <w:r>
            <w:rPr>
              <w:rStyle w:val="16"/>
              <w:rFonts w:cs="Times New Roman"/>
              <w:kern w:val="0"/>
            </w:rPr>
            <w:t>四、永久基本农田划定情况</w:t>
          </w:r>
          <w:r>
            <w:rPr>
              <w:rFonts w:cs="Times New Roman"/>
            </w:rPr>
            <w:tab/>
          </w: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PAGEREF _Toc485830021 \h </w:instrText>
          </w:r>
          <w:r>
            <w:rPr>
              <w:rFonts w:cs="Times New Roman"/>
            </w:rPr>
            <w:fldChar w:fldCharType="separate"/>
          </w:r>
          <w:r>
            <w:rPr>
              <w:rFonts w:cs="Times New Roman"/>
            </w:rPr>
            <w:t>1</w:t>
          </w:r>
          <w:r>
            <w:rPr>
              <w:rFonts w:cs="Times New Roman"/>
            </w:rPr>
            <w:fldChar w:fldCharType="end"/>
          </w:r>
          <w:r>
            <w:rPr>
              <w:rFonts w:cs="Times New Roman"/>
            </w:rP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"_Toc485830022" </w:instrText>
          </w:r>
          <w:r>
            <w:fldChar w:fldCharType="separate"/>
          </w:r>
          <w:r>
            <w:rPr>
              <w:rStyle w:val="16"/>
            </w:rPr>
            <w:t>（一）调出情况</w:t>
          </w:r>
          <w:r>
            <w:tab/>
          </w:r>
          <w:r>
            <w:fldChar w:fldCharType="begin"/>
          </w:r>
          <w:r>
            <w:instrText xml:space="preserve"> PAGEREF _Toc485830022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"_Toc485830023" </w:instrText>
          </w:r>
          <w:r>
            <w:fldChar w:fldCharType="separate"/>
          </w:r>
          <w:r>
            <w:rPr>
              <w:rStyle w:val="16"/>
            </w:rPr>
            <w:t>（二）补划情况</w:t>
          </w:r>
          <w:r>
            <w:tab/>
          </w:r>
          <w:r>
            <w:fldChar w:fldCharType="begin"/>
          </w:r>
          <w:r>
            <w:instrText xml:space="preserve"> PAGEREF _Toc485830023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0"/>
            <w:rPr>
              <w:rFonts w:cs="Times New Roman" w:eastAsiaTheme="minorEastAsia"/>
              <w:sz w:val="21"/>
            </w:rPr>
          </w:pPr>
          <w:r>
            <w:fldChar w:fldCharType="begin"/>
          </w:r>
          <w:r>
            <w:instrText xml:space="preserve"> HYPERLINK \l "_Toc485830024" </w:instrText>
          </w:r>
          <w:r>
            <w:fldChar w:fldCharType="separate"/>
          </w:r>
          <w:r>
            <w:rPr>
              <w:rStyle w:val="16"/>
              <w:rFonts w:cs="Times New Roman"/>
              <w:kern w:val="0"/>
            </w:rPr>
            <w:t>五、建设用地规模与布局调整</w:t>
          </w:r>
          <w:r>
            <w:rPr>
              <w:rFonts w:cs="Times New Roman"/>
            </w:rPr>
            <w:tab/>
          </w: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PAGEREF _Toc485830024 \h </w:instrText>
          </w:r>
          <w:r>
            <w:rPr>
              <w:rFonts w:cs="Times New Roman"/>
            </w:rPr>
            <w:fldChar w:fldCharType="separate"/>
          </w:r>
          <w:r>
            <w:rPr>
              <w:rFonts w:cs="Times New Roman"/>
            </w:rPr>
            <w:t>2</w:t>
          </w:r>
          <w:r>
            <w:rPr>
              <w:rFonts w:cs="Times New Roman"/>
            </w:rPr>
            <w:fldChar w:fldCharType="end"/>
          </w:r>
          <w:r>
            <w:rPr>
              <w:rFonts w:cs="Times New Roman"/>
            </w:rP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"_Toc485830025" </w:instrText>
          </w:r>
          <w:r>
            <w:fldChar w:fldCharType="separate"/>
          </w:r>
          <w:r>
            <w:rPr>
              <w:rStyle w:val="16"/>
            </w:rPr>
            <w:t>（一）城镇用地</w:t>
          </w:r>
          <w:r>
            <w:tab/>
          </w:r>
          <w:r>
            <w:fldChar w:fldCharType="begin"/>
          </w:r>
          <w:r>
            <w:instrText xml:space="preserve"> PAGEREF _Toc485830025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"_Toc485830026" </w:instrText>
          </w:r>
          <w:r>
            <w:fldChar w:fldCharType="separate"/>
          </w:r>
          <w:r>
            <w:rPr>
              <w:rStyle w:val="16"/>
            </w:rPr>
            <w:t>（二）农村居民点用地</w:t>
          </w:r>
          <w:r>
            <w:tab/>
          </w:r>
          <w:r>
            <w:fldChar w:fldCharType="begin"/>
          </w:r>
          <w:r>
            <w:instrText xml:space="preserve"> PAGEREF _Toc485830026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"_Toc485830027" </w:instrText>
          </w:r>
          <w:r>
            <w:fldChar w:fldCharType="separate"/>
          </w:r>
          <w:r>
            <w:rPr>
              <w:rStyle w:val="16"/>
            </w:rPr>
            <w:t>（三）采矿及其他独立建设用地</w:t>
          </w:r>
          <w:r>
            <w:tab/>
          </w:r>
          <w:r>
            <w:fldChar w:fldCharType="begin"/>
          </w:r>
          <w:r>
            <w:instrText xml:space="preserve"> PAGEREF _Toc485830027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"_Toc485830028" </w:instrText>
          </w:r>
          <w:r>
            <w:fldChar w:fldCharType="separate"/>
          </w:r>
          <w:r>
            <w:rPr>
              <w:rStyle w:val="16"/>
            </w:rPr>
            <w:t>（四）交通水利用地</w:t>
          </w:r>
          <w:r>
            <w:tab/>
          </w:r>
          <w:r>
            <w:fldChar w:fldCharType="begin"/>
          </w:r>
          <w:r>
            <w:instrText xml:space="preserve"> PAGEREF _Toc485830028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"_Toc485830029" </w:instrText>
          </w:r>
          <w:r>
            <w:fldChar w:fldCharType="separate"/>
          </w:r>
          <w:r>
            <w:rPr>
              <w:rStyle w:val="16"/>
            </w:rPr>
            <w:t>（五）其他建设用地</w:t>
          </w:r>
          <w:r>
            <w:tab/>
          </w:r>
          <w:r>
            <w:fldChar w:fldCharType="begin"/>
          </w:r>
          <w:r>
            <w:instrText xml:space="preserve"> PAGEREF _Toc485830029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rPr>
              <w:rFonts w:cs="Times New Roman" w:eastAsiaTheme="minorEastAsia"/>
              <w:sz w:val="21"/>
            </w:rPr>
          </w:pPr>
          <w:r>
            <w:fldChar w:fldCharType="begin"/>
          </w:r>
          <w:r>
            <w:instrText xml:space="preserve"> HYPERLINK \l "_Toc485830030" </w:instrText>
          </w:r>
          <w:r>
            <w:fldChar w:fldCharType="separate"/>
          </w:r>
          <w:r>
            <w:rPr>
              <w:rStyle w:val="16"/>
              <w:rFonts w:cs="Times New Roman"/>
              <w:kern w:val="0"/>
            </w:rPr>
            <w:t>六、土地利用分区调整情况</w:t>
          </w:r>
          <w:r>
            <w:rPr>
              <w:rFonts w:cs="Times New Roman"/>
            </w:rPr>
            <w:tab/>
          </w: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PAGEREF _Toc485830030 \h </w:instrText>
          </w:r>
          <w:r>
            <w:rPr>
              <w:rFonts w:cs="Times New Roman"/>
            </w:rPr>
            <w:fldChar w:fldCharType="separate"/>
          </w:r>
          <w:r>
            <w:rPr>
              <w:rFonts w:cs="Times New Roman"/>
            </w:rPr>
            <w:t>3</w:t>
          </w:r>
          <w:r>
            <w:rPr>
              <w:rFonts w:cs="Times New Roman"/>
            </w:rPr>
            <w:fldChar w:fldCharType="end"/>
          </w:r>
          <w:r>
            <w:rPr>
              <w:rFonts w:cs="Times New Roman"/>
            </w:rP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"_Toc485830031" </w:instrText>
          </w:r>
          <w:r>
            <w:fldChar w:fldCharType="separate"/>
          </w:r>
          <w:r>
            <w:rPr>
              <w:rStyle w:val="16"/>
            </w:rPr>
            <w:t>（一）土地用途分区修改</w:t>
          </w:r>
          <w:r>
            <w:tab/>
          </w:r>
          <w:r>
            <w:fldChar w:fldCharType="begin"/>
          </w:r>
          <w:r>
            <w:instrText xml:space="preserve"> PAGEREF _Toc485830031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"_Toc485830032" </w:instrText>
          </w:r>
          <w:r>
            <w:fldChar w:fldCharType="separate"/>
          </w:r>
          <w:r>
            <w:rPr>
              <w:rStyle w:val="16"/>
            </w:rPr>
            <w:t>（二）建设用地管制分区修改</w:t>
          </w:r>
          <w:r>
            <w:tab/>
          </w:r>
          <w:r>
            <w:fldChar w:fldCharType="begin"/>
          </w:r>
          <w:r>
            <w:instrText xml:space="preserve"> PAGEREF _Toc485830032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rPr>
              <w:rFonts w:cs="Times New Roman" w:eastAsiaTheme="minorEastAsia"/>
              <w:sz w:val="21"/>
            </w:rPr>
          </w:pPr>
          <w:r>
            <w:fldChar w:fldCharType="begin"/>
          </w:r>
          <w:r>
            <w:instrText xml:space="preserve"> HYPERLINK \l "_Toc485830033" </w:instrText>
          </w:r>
          <w:r>
            <w:fldChar w:fldCharType="separate"/>
          </w:r>
          <w:r>
            <w:rPr>
              <w:rStyle w:val="16"/>
              <w:rFonts w:cs="Times New Roman"/>
              <w:kern w:val="0"/>
            </w:rPr>
            <w:t>附表</w:t>
          </w:r>
          <w:r>
            <w:rPr>
              <w:rFonts w:cs="Times New Roman"/>
            </w:rPr>
            <w:tab/>
          </w: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PAGEREF _Toc485830033 \h </w:instrText>
          </w:r>
          <w:r>
            <w:rPr>
              <w:rFonts w:cs="Times New Roman"/>
            </w:rPr>
            <w:fldChar w:fldCharType="separate"/>
          </w:r>
          <w:r>
            <w:rPr>
              <w:rFonts w:cs="Times New Roman"/>
            </w:rPr>
            <w:t>3</w:t>
          </w:r>
          <w:r>
            <w:rPr>
              <w:rFonts w:cs="Times New Roman"/>
            </w:rPr>
            <w:fldChar w:fldCharType="end"/>
          </w:r>
          <w:r>
            <w:rPr>
              <w:rFonts w:cs="Times New Roman"/>
            </w:rP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"_Toc485830034" </w:instrText>
          </w:r>
          <w:r>
            <w:fldChar w:fldCharType="separate"/>
          </w:r>
          <w:r>
            <w:rPr>
              <w:rStyle w:val="16"/>
            </w:rPr>
            <w:t>附表1  东富镇土地利用现状表（2014年）</w:t>
          </w:r>
          <w:r>
            <w:tab/>
          </w:r>
          <w:r>
            <w:fldChar w:fldCharType="begin"/>
          </w:r>
          <w:r>
            <w:instrText xml:space="preserve"> PAGEREF _Toc485830034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"_Toc485830035" </w:instrText>
          </w:r>
          <w:r>
            <w:fldChar w:fldCharType="separate"/>
          </w:r>
          <w:r>
            <w:rPr>
              <w:rStyle w:val="16"/>
            </w:rPr>
            <w:t>附表2  东富镇土地利用结构调整表</w:t>
          </w:r>
          <w:r>
            <w:tab/>
          </w:r>
          <w:r>
            <w:fldChar w:fldCharType="begin"/>
          </w:r>
          <w:r>
            <w:instrText xml:space="preserve"> PAGEREF _Toc485830035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"_Toc485830036" </w:instrText>
          </w:r>
          <w:r>
            <w:fldChar w:fldCharType="separate"/>
          </w:r>
          <w:r>
            <w:rPr>
              <w:rStyle w:val="16"/>
            </w:rPr>
            <w:t>附表3  东富镇土地利用规划目标调整表</w:t>
          </w:r>
          <w:r>
            <w:tab/>
          </w:r>
          <w:r>
            <w:fldChar w:fldCharType="begin"/>
          </w:r>
          <w:r>
            <w:instrText xml:space="preserve"> PAGEREF _Toc485830036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"_Toc485830037" </w:instrText>
          </w:r>
          <w:r>
            <w:fldChar w:fldCharType="separate"/>
          </w:r>
          <w:r>
            <w:rPr>
              <w:rStyle w:val="16"/>
            </w:rPr>
            <w:t>附表4  东富镇落实上一级土地利用规划指标情况表</w:t>
          </w:r>
          <w:r>
            <w:tab/>
          </w:r>
          <w:r>
            <w:fldChar w:fldCharType="begin"/>
          </w:r>
          <w:r>
            <w:instrText xml:space="preserve"> PAGEREF _Toc485830037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"_Toc485830038" </w:instrText>
          </w:r>
          <w:r>
            <w:fldChar w:fldCharType="separate"/>
          </w:r>
          <w:r>
            <w:rPr>
              <w:rStyle w:val="16"/>
            </w:rPr>
            <w:t>附表5  调入区域规划调整前后对比表</w:t>
          </w:r>
          <w:r>
            <w:tab/>
          </w:r>
          <w:r>
            <w:fldChar w:fldCharType="begin"/>
          </w:r>
          <w:r>
            <w:instrText xml:space="preserve"> PAGEREF _Toc485830038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"_Toc485830039" </w:instrText>
          </w:r>
          <w:r>
            <w:fldChar w:fldCharType="separate"/>
          </w:r>
          <w:r>
            <w:rPr>
              <w:rStyle w:val="16"/>
            </w:rPr>
            <w:t>附表6  调出区域规划调整前后对比表</w:t>
          </w:r>
          <w:r>
            <w:tab/>
          </w:r>
          <w:r>
            <w:fldChar w:fldCharType="begin"/>
          </w:r>
          <w:r>
            <w:instrText xml:space="preserve"> PAGEREF _Toc485830039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"_Toc485830040" </w:instrText>
          </w:r>
          <w:r>
            <w:fldChar w:fldCharType="separate"/>
          </w:r>
          <w:r>
            <w:rPr>
              <w:rStyle w:val="16"/>
            </w:rPr>
            <w:t>附表7  东富镇耕地保有量和基本农田保护面积分解表</w:t>
          </w:r>
          <w:r>
            <w:tab/>
          </w:r>
          <w:r>
            <w:fldChar w:fldCharType="begin"/>
          </w:r>
          <w:r>
            <w:instrText xml:space="preserve"> PAGEREF _Toc485830040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"_Toc485830041" </w:instrText>
          </w:r>
          <w:r>
            <w:fldChar w:fldCharType="separate"/>
          </w:r>
          <w:r>
            <w:rPr>
              <w:rStyle w:val="16"/>
            </w:rPr>
            <w:t>附表8  东富镇土地用途分区修改情况表</w:t>
          </w:r>
          <w:r>
            <w:tab/>
          </w:r>
          <w:r>
            <w:fldChar w:fldCharType="begin"/>
          </w:r>
          <w:r>
            <w:instrText xml:space="preserve"> PAGEREF _Toc485830041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"_Toc485830042" </w:instrText>
          </w:r>
          <w:r>
            <w:fldChar w:fldCharType="separate"/>
          </w:r>
          <w:r>
            <w:rPr>
              <w:rStyle w:val="16"/>
            </w:rPr>
            <w:t>附表9  东富镇建设用地空间管制分区修改情况表</w:t>
          </w:r>
          <w:r>
            <w:tab/>
          </w:r>
          <w:r>
            <w:fldChar w:fldCharType="begin"/>
          </w:r>
          <w:r>
            <w:instrText xml:space="preserve"> PAGEREF _Toc485830042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"_Toc485830043" </w:instrText>
          </w:r>
          <w:r>
            <w:fldChar w:fldCharType="separate"/>
          </w:r>
          <w:r>
            <w:rPr>
              <w:rStyle w:val="16"/>
            </w:rPr>
            <w:t>附表10  东富镇2016-2020年重点建设用地项目规划表</w:t>
          </w:r>
          <w:r>
            <w:tab/>
          </w:r>
          <w:r>
            <w:fldChar w:fldCharType="begin"/>
          </w:r>
          <w:r>
            <w:instrText xml:space="preserve"> PAGEREF _Toc485830043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"_Toc485830044" </w:instrText>
          </w:r>
          <w:r>
            <w:fldChar w:fldCharType="separate"/>
          </w:r>
          <w:r>
            <w:rPr>
              <w:rStyle w:val="16"/>
            </w:rPr>
            <w:t>附表11  东富镇土地用途分区面积统计表</w:t>
          </w:r>
          <w:r>
            <w:tab/>
          </w:r>
          <w:r>
            <w:fldChar w:fldCharType="begin"/>
          </w:r>
          <w:r>
            <w:instrText xml:space="preserve"> PAGEREF _Toc485830044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10244"/>
            </w:tabs>
            <w:ind w:left="420"/>
            <w:rPr>
              <w:rFonts w:eastAsiaTheme="minorEastAsia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"_Toc485830045" </w:instrText>
          </w:r>
          <w:r>
            <w:fldChar w:fldCharType="separate"/>
          </w:r>
          <w:r>
            <w:rPr>
              <w:rStyle w:val="16"/>
            </w:rPr>
            <w:t>附表12  东富镇2006-2020年地类结构平衡表</w:t>
          </w:r>
          <w:r>
            <w:tab/>
          </w:r>
          <w:r>
            <w:fldChar w:fldCharType="begin"/>
          </w:r>
          <w:r>
            <w:instrText xml:space="preserve"> PAGEREF _Toc485830045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fldChar w:fldCharType="end"/>
          </w:r>
        </w:p>
      </w:sdtContent>
    </w:sdt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widowControl/>
        <w:spacing w:beforeLines="50" w:afterLines="50"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97" w:name="_GoBack"/>
      <w:bookmarkEnd w:id="97"/>
      <w:r>
        <w:rPr>
          <w:rFonts w:ascii="Times New Roman" w:hAnsi="Times New Roman" w:eastAsia="黑体" w:cs="Times New Roman"/>
          <w:kern w:val="0"/>
          <w:sz w:val="32"/>
          <w:szCs w:val="32"/>
        </w:rPr>
        <w:br w:type="page"/>
      </w:r>
    </w:p>
    <w:p>
      <w:pPr>
        <w:widowControl/>
        <w:spacing w:beforeLines="50" w:afterLines="50"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  <w:sectPr>
          <w:footerReference r:id="rId9" w:type="default"/>
          <w:type w:val="continuous"/>
          <w:pgSz w:w="23814" w:h="16839" w:orient="landscape"/>
          <w:pgMar w:top="1800" w:right="1440" w:bottom="1800" w:left="1440" w:header="851" w:footer="992" w:gutter="0"/>
          <w:pgNumType w:fmt="upperRoman" w:start="1"/>
          <w:cols w:space="425" w:num="2"/>
          <w:docGrid w:type="lines" w:linePitch="312" w:charSpace="0"/>
        </w:sectPr>
      </w:pPr>
    </w:p>
    <w:bookmarkEnd w:id="0"/>
    <w:bookmarkEnd w:id="1"/>
    <w:bookmarkEnd w:id="2"/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" w:name="_Toc476734945"/>
      <w:bookmarkStart w:id="4" w:name="_Toc477764599"/>
      <w:bookmarkStart w:id="5" w:name="_Toc485830014"/>
      <w:bookmarkStart w:id="6" w:name="_Toc469235313"/>
      <w:r>
        <w:rPr>
          <w:rFonts w:ascii="Times New Roman" w:hAnsi="Times New Roman" w:eastAsia="黑体" w:cs="Times New Roman"/>
          <w:kern w:val="0"/>
          <w:sz w:val="32"/>
          <w:szCs w:val="32"/>
        </w:rPr>
        <w:t>一、基本情况</w:t>
      </w:r>
      <w:bookmarkEnd w:id="3"/>
      <w:bookmarkEnd w:id="4"/>
      <w:bookmarkEnd w:id="5"/>
      <w:bookmarkEnd w:id="6"/>
    </w:p>
    <w:p>
      <w:pPr>
        <w:spacing w:line="360" w:lineRule="auto"/>
        <w:jc w:val="left"/>
        <w:outlineLvl w:val="1"/>
        <w:rPr>
          <w:rFonts w:ascii="Times New Roman" w:hAnsi="Times New Roman" w:eastAsia="仿宋_GB2312" w:cs="Times New Roman"/>
          <w:b/>
          <w:kern w:val="0"/>
          <w:sz w:val="28"/>
          <w:szCs w:val="28"/>
        </w:rPr>
      </w:pPr>
      <w:bookmarkStart w:id="7" w:name="_Toc485830015"/>
      <w:bookmarkStart w:id="8" w:name="_Toc476734946"/>
      <w:r>
        <w:rPr>
          <w:rFonts w:ascii="Times New Roman" w:hAnsi="Times New Roman" w:eastAsia="黑体" w:cs="Times New Roman"/>
          <w:sz w:val="30"/>
          <w:szCs w:val="30"/>
        </w:rPr>
        <w:t>（一）行政区划调整</w:t>
      </w:r>
      <w:bookmarkEnd w:id="7"/>
      <w:bookmarkEnd w:id="8"/>
    </w:p>
    <w:p>
      <w:pPr>
        <w:widowControl/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根据湖南省民政厅《关于同意醴陵市乡镇区划调整方案的批复》（湘民行发〔2015〕85号）以及醴陵市人民政府《关于同意东富镇建制村合并调整的批复》（醴政函〔2016〕56号）：东富镇行政区域部分调整，将荆潭村、潭湾村、石里浦村、伏龙村、立新村等5个建制村划归阳三石街道管辖。调整后东富镇下辖10个建制村、1个居委会，总人口4万人，镇人民政府驻四杨居委会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9" w:name="_Toc485830016"/>
      <w:bookmarkStart w:id="10" w:name="_Toc476734947"/>
      <w:r>
        <w:rPr>
          <w:rFonts w:ascii="Times New Roman" w:hAnsi="Times New Roman" w:eastAsia="黑体" w:cs="Times New Roman"/>
          <w:sz w:val="30"/>
          <w:szCs w:val="30"/>
        </w:rPr>
        <w:t>（二）地理区位</w:t>
      </w:r>
      <w:bookmarkEnd w:id="9"/>
      <w:bookmarkEnd w:id="10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东富镇位于湖南省</w:t>
      </w:r>
      <w:r>
        <w:fldChar w:fldCharType="begin"/>
      </w:r>
      <w:r>
        <w:instrText xml:space="preserve"> HYPERLINK "http://baike.baidu.com/view/14085.htm" \t "http://baike.baidu.com/_blank" </w:instrText>
      </w:r>
      <w: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醴陵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东南部，距醴陵城区8千米。东邻江西省，南接沈潭镇，西与阳三石街道、仙岳山街道和孙家湾镇毗邻，北与来龙门街道、王仙镇接壤。东富镇水陆交通十分便利，渌江自东向西流经境内3个村，株醴高速公路横贯东西，属市县“半小时经济圈”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11" w:name="_Toc485830017"/>
      <w:bookmarkStart w:id="12" w:name="_Toc476734948"/>
      <w:r>
        <w:rPr>
          <w:rFonts w:ascii="Times New Roman" w:hAnsi="Times New Roman" w:eastAsia="黑体" w:cs="Times New Roman"/>
          <w:sz w:val="30"/>
          <w:szCs w:val="30"/>
        </w:rPr>
        <w:t>（三）发展</w:t>
      </w:r>
      <w:bookmarkEnd w:id="11"/>
      <w:bookmarkEnd w:id="12"/>
      <w:r>
        <w:rPr>
          <w:rFonts w:ascii="Times New Roman" w:hAnsi="Times New Roman" w:eastAsia="黑体" w:cs="Times New Roman"/>
          <w:sz w:val="30"/>
          <w:szCs w:val="30"/>
        </w:rPr>
        <w:t>定位</w:t>
      </w: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根据《醴陵市城市总体规划（2010-2030）》城镇体系规划，东富镇是东部城镇密集发展带的重点镇、城乡一体化发展区的核心镇，是推进湘赣开放合作、形成产业集群的“</w:t>
      </w:r>
      <w:r>
        <w:fldChar w:fldCharType="begin"/>
      </w:r>
      <w:r>
        <w:instrText xml:space="preserve"> HYPERLINK "http://baike.baidu.com/item/%E6%B9%98%E8%B5%A3%E5%BC%80%E6%94%BE%E5%90%88%E4%BD%9C%E8%AF%95%E9%AA%8C%E5%8C%BA" \t "_blank" </w:instrText>
      </w:r>
      <w: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湘赣开放合作试验区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”。湖南醴陵经济开发区东富工业园坐落于此，经济规模较大，工业发展迅速，现已形成以建筑、</w:t>
      </w:r>
      <w:r>
        <w:fldChar w:fldCharType="begin"/>
      </w:r>
      <w:r>
        <w:instrText xml:space="preserve"> HYPERLINK "http://baike.baidu.com/view/4082.htm" \t "http://baike.baidu.com/_blank" </w:instrText>
      </w:r>
      <w: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陶瓷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、</w:t>
      </w:r>
      <w:r>
        <w:fldChar w:fldCharType="begin"/>
      </w:r>
      <w:r>
        <w:instrText xml:space="preserve"> HYPERLINK "http://baike.baidu.com/view/45797.htm" \t "http://baike.baidu.com/_blank" </w:instrText>
      </w:r>
      <w: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橡胶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制品、</w:t>
      </w:r>
      <w:r>
        <w:fldChar w:fldCharType="begin"/>
      </w:r>
      <w:r>
        <w:instrText xml:space="preserve"> HYPERLINK "http://baike.baidu.com/view/1691.htm" \t "http://baike.baidu.com/_blank" </w:instrText>
      </w:r>
      <w: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鞭炮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烟花、包装印刷、帆布手套为主导产业的工业结构。农业以主产优质稻为主，千亩优质稻产业基地已初具规模。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13" w:name="_Toc485830018"/>
      <w:bookmarkStart w:id="14" w:name="_Toc476734949"/>
      <w:bookmarkStart w:id="15" w:name="_Toc469235315"/>
      <w:r>
        <w:rPr>
          <w:rFonts w:ascii="Times New Roman" w:hAnsi="Times New Roman" w:eastAsia="黑体" w:cs="Times New Roman"/>
          <w:sz w:val="30"/>
          <w:szCs w:val="30"/>
        </w:rPr>
        <w:t>（四）土地利用现状</w:t>
      </w:r>
      <w:bookmarkEnd w:id="13"/>
      <w:bookmarkEnd w:id="14"/>
      <w:bookmarkEnd w:id="15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2014年，东富镇土地总面积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D:\\醴陵调整完善\\表格(净2013)\\乡镇表格\\3东富镇\\文本表格.xls 表1!R5C6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8037.46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公顷，其中农用地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D:\\醴陵调整完善\\表格(净2013)\\乡镇表格\\3东富镇\\文本表格.xls 表1!R11C6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6788.94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D:\\醴陵调整完善\\表格(净2013)\\乡镇表格\\3东富镇\\文本表格.xls 表1!R11C7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84.47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%；建设用地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D:\\醴陵调整完善\\表格(净2013)\\乡镇表格\\3东富镇\\文本表格.xls 表1!R19C6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1107.47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D:\\醴陵调整完善\\表格(净2013)\\乡镇表格\\3东富镇\\文本表格.xls 表1!R19C7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13.78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%；其他土地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D:\\醴陵调整完善\\表格(净2013)\\乡镇表格\\3东富镇\\文本表格.xls 表1!R22C6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141.05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D:\\醴陵调整完善\\表格(净2013)\\乡镇表格\\3东富镇\\文本表格.xls 表1!R22C7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1.75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%。（详见附表1）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6" w:name="_Toc485830019"/>
      <w:bookmarkStart w:id="17" w:name="_Toc476734950"/>
      <w:bookmarkStart w:id="18" w:name="_Toc469235316"/>
      <w:bookmarkStart w:id="19" w:name="_Toc468872186"/>
      <w:r>
        <w:rPr>
          <w:rFonts w:ascii="Times New Roman" w:hAnsi="Times New Roman" w:eastAsia="黑体" w:cs="Times New Roman"/>
          <w:kern w:val="0"/>
          <w:sz w:val="32"/>
          <w:szCs w:val="32"/>
        </w:rPr>
        <w:t>二、规划修改期限与范围</w:t>
      </w:r>
      <w:bookmarkEnd w:id="16"/>
      <w:bookmarkEnd w:id="17"/>
      <w:bookmarkEnd w:id="18"/>
      <w:bookmarkEnd w:id="19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本次规划修改以2005年为基期年，2014年为规划修改年，2020年为目标年。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规划范围为东富镇区域内的所有土地，土地总面积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D:\\醴陵调整完善\\表格(净2013)\\乡镇表格\\3东富镇\\文本表格.xls 表1!R5C6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8037.46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20" w:name="_Toc469235317"/>
      <w:bookmarkStart w:id="21" w:name="_Toc476734951"/>
      <w:bookmarkStart w:id="22" w:name="_Toc485830020"/>
      <w:bookmarkStart w:id="23" w:name="_Toc233731296"/>
      <w:bookmarkStart w:id="24" w:name="_Toc233771272"/>
      <w:bookmarkStart w:id="25" w:name="_Toc233731124"/>
      <w:r>
        <w:rPr>
          <w:rFonts w:ascii="Times New Roman" w:hAnsi="Times New Roman" w:eastAsia="黑体" w:cs="Times New Roman"/>
          <w:kern w:val="0"/>
          <w:sz w:val="32"/>
          <w:szCs w:val="32"/>
        </w:rPr>
        <w:t>三、土地利用规划目标</w:t>
      </w:r>
      <w:bookmarkEnd w:id="20"/>
      <w:bookmarkEnd w:id="21"/>
      <w:bookmarkEnd w:id="22"/>
    </w:p>
    <w:bookmarkEnd w:id="23"/>
    <w:bookmarkEnd w:id="24"/>
    <w:bookmarkEnd w:id="25"/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规划修改后，到2020年，全镇耕地保有量不低于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D:\\醴陵调整完善\\表格(净2013)\\乡镇表格\\3东富镇\\乡镇规划附表.xlsx 目标!R4C4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2615.50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公顷；基本农田保护面积不低于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D:\\醴陵调整完善\\表格(净2013)\\乡镇表格\\3东富镇\\乡镇规划附表.xlsx 目标!R5C4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2218.00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公顷；全镇通过土地开发整理复垦补充耕地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D:\\醴陵调整完善\\表格(净2013)\\乡镇表格\\3东富镇\\乡镇规划附表.xlsx 目标!R12C4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267.08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规划修改后，到2020年，全镇建设用地总规模控制在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D:\\醴陵调整完善\\表格(净2013)\\乡镇表格\\3东富镇\\乡镇规划附表.xlsx 目标!R6C4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1331.54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公顷以内，城乡建设用地规模控制在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D:\\醴陵调整完善\\表格(净2013)\\乡镇表格\\3东富镇\\乡镇规划附表.xlsx 目标!R7C4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1186.75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</w:t>
      </w:r>
      <w:r>
        <w:rPr>
          <w:rFonts w:ascii="Times New Roman" w:hAnsi="Times New Roman" w:eastAsia="仿宋_GB2312" w:cs="Times New Roman"/>
          <w:sz w:val="28"/>
          <w:szCs w:val="28"/>
        </w:rPr>
        <w:t>城镇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工矿用地规模控制在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D:\\醴陵调整完善\\表格(净2013)\\乡镇表格\\3东富镇\\乡镇规划附表.xlsx 目标!R8C4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478.49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公顷以内；2006-2020年，新增建设用地规模控制在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D:\\醴陵调整完善\\表格(净2013)\\乡镇表格\\3东富镇\\乡镇规划附表.xlsx 目标!R9C4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486.67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公顷以内，新增建设占用农用地规模控制在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D:\\醴陵调整完善\\表格(净2013)\\乡镇表格\\3东富镇\\乡镇规划附表.xlsx 目标!R10C4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463.23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公顷以内，新增建设占用耕地规模控制在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D:\\醴陵调整完善\\表格(净2013)\\乡镇表格\\3东富镇\\乡镇规划附表.xlsx 目标!R11C4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130.43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公顷以内。修改前后各项规划目标及变化情况见附表3。</w:t>
      </w:r>
    </w:p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26" w:name="_Toc469235327"/>
      <w:bookmarkStart w:id="27" w:name="_Toc485830021"/>
      <w:bookmarkStart w:id="28" w:name="_Toc476734952"/>
      <w:bookmarkStart w:id="29" w:name="_Toc469235320"/>
      <w:bookmarkStart w:id="30" w:name="_Toc229458166"/>
      <w:bookmarkStart w:id="31" w:name="_Toc204342104"/>
      <w:bookmarkStart w:id="32" w:name="_Toc145225166"/>
      <w:r>
        <w:rPr>
          <w:rFonts w:ascii="Times New Roman" w:hAnsi="Times New Roman" w:eastAsia="黑体" w:cs="Times New Roman"/>
          <w:kern w:val="0"/>
          <w:sz w:val="32"/>
          <w:szCs w:val="32"/>
        </w:rPr>
        <w:t>四、</w:t>
      </w:r>
      <w:bookmarkEnd w:id="26"/>
      <w:r>
        <w:rPr>
          <w:rFonts w:ascii="Times New Roman" w:hAnsi="Times New Roman" w:eastAsia="黑体" w:cs="Times New Roman"/>
          <w:kern w:val="0"/>
          <w:sz w:val="32"/>
          <w:szCs w:val="32"/>
        </w:rPr>
        <w:t>永久基本农田划定情况</w:t>
      </w:r>
      <w:bookmarkEnd w:id="27"/>
      <w:bookmarkEnd w:id="28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3" w:name="_Toc485830022"/>
      <w:bookmarkStart w:id="34" w:name="_Toc476734953"/>
      <w:r>
        <w:rPr>
          <w:rFonts w:ascii="Times New Roman" w:hAnsi="Times New Roman" w:eastAsia="黑体" w:cs="Times New Roman"/>
          <w:sz w:val="30"/>
          <w:szCs w:val="30"/>
        </w:rPr>
        <w:t>（一）调出情况</w:t>
      </w:r>
      <w:bookmarkEnd w:id="33"/>
      <w:bookmarkEnd w:id="34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本次规划修改共计减少基本农田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D:\\醴陵调整完善\\表格(净2013)\\乡镇表格\\3东富镇\\乡镇规划附表.xlsx 耕基!R12C7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38.67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公顷，其中因建设占用调出基本农田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D:\\醴陵调整完善\\表格(净2013)\\乡镇表格\\3东富镇\\乡镇规划附表.xlsx 耕基!R12C5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1.90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公顷，集中分布于枧头洲村，调出质量较差基本农田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D:\\醴陵调整完善\\表格(净2013)\\乡镇表格\\3东富镇\\乡镇规划附表.xlsx 耕基!R12C6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36.77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公顷，全镇各村均有涉及。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5" w:name="_Toc476734954"/>
      <w:bookmarkStart w:id="36" w:name="_Toc485830023"/>
      <w:r>
        <w:rPr>
          <w:rFonts w:ascii="Times New Roman" w:hAnsi="Times New Roman" w:eastAsia="黑体" w:cs="Times New Roman"/>
          <w:sz w:val="30"/>
          <w:szCs w:val="30"/>
        </w:rPr>
        <w:t>（二）补划情况</w:t>
      </w:r>
      <w:bookmarkEnd w:id="35"/>
      <w:bookmarkEnd w:id="36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本次规划修改共计补划基本农田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D:\\醴陵调整完善\\表格(净2013)\\乡镇表格\\3东富镇\\乡镇规划附表.xlsx 耕基!R12C4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169.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</w:t>
      </w:r>
      <w:r>
        <w:rPr>
          <w:rFonts w:ascii="Times New Roman" w:hAnsi="Times New Roman" w:eastAsia="仿宋_GB2312" w:cs="Times New Roman"/>
          <w:sz w:val="28"/>
          <w:szCs w:val="28"/>
        </w:rPr>
        <w:t>补充来源全部为优质耕地调入，主要集中在森冲村、楚同桥村、莲旗村、西林村。</w:t>
      </w:r>
    </w:p>
    <w:p>
      <w:pPr>
        <w:tabs>
          <w:tab w:val="left" w:pos="17065"/>
        </w:tabs>
        <w:ind w:firstLine="560" w:firstLineChars="2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划定后，东富镇永久基本农田面积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D:\\醴陵调整完善\\表格(净2013)\\乡镇表格\\3东富镇\\乡镇规划附表.xlsx 耕基!R12C9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2218.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90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公顷（较规划修改前增加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D:\\醴陵调整完善\\表格(净2013)\\乡镇表格\\3东富镇\\乡镇规划附表.xlsx 耕基!R12C8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130.9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公顷），落实了基本农田保护任务，全镇各村均有布局。</w:t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表1 东富镇基本农田布局调整情况表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373"/>
        <w:gridCol w:w="1030"/>
        <w:gridCol w:w="1030"/>
        <w:gridCol w:w="859"/>
        <w:gridCol w:w="1557"/>
        <w:gridCol w:w="962"/>
        <w:gridCol w:w="1084"/>
        <w:gridCol w:w="1261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  <w:tc>
          <w:tcPr>
            <w:tcW w:w="3433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08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26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建设用地调出补划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优质耕地调入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建设占用</w:t>
            </w:r>
          </w:p>
        </w:tc>
        <w:tc>
          <w:tcPr>
            <w:tcW w:w="15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质量较差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</w:t>
            </w:r>
          </w:p>
        </w:tc>
        <w:tc>
          <w:tcPr>
            <w:tcW w:w="96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0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2087.95 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169.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169.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1.90 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36.77 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38.67 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130.9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2218.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90</w:t>
            </w:r>
          </w:p>
        </w:tc>
      </w:tr>
    </w:tbl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7" w:name="_Toc485830024"/>
      <w:bookmarkStart w:id="38" w:name="_Toc476734955"/>
      <w:r>
        <w:rPr>
          <w:rFonts w:ascii="Times New Roman" w:hAnsi="Times New Roman" w:eastAsia="黑体" w:cs="Times New Roman"/>
          <w:kern w:val="0"/>
          <w:sz w:val="32"/>
          <w:szCs w:val="32"/>
        </w:rPr>
        <w:t>五、建设用地规模与布局调整</w:t>
      </w:r>
      <w:bookmarkEnd w:id="29"/>
      <w:bookmarkEnd w:id="37"/>
      <w:bookmarkEnd w:id="38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9" w:name="_Toc485830025"/>
      <w:bookmarkStart w:id="40" w:name="_Toc476734956"/>
      <w:bookmarkStart w:id="41" w:name="_Toc469235321"/>
      <w:r>
        <w:rPr>
          <w:rFonts w:ascii="Times New Roman" w:hAnsi="Times New Roman" w:eastAsia="黑体" w:cs="Times New Roman"/>
          <w:sz w:val="30"/>
          <w:szCs w:val="30"/>
        </w:rPr>
        <w:t>（一）城镇用地</w:t>
      </w:r>
      <w:bookmarkEnd w:id="39"/>
      <w:bookmarkEnd w:id="40"/>
      <w:bookmarkEnd w:id="41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bookmarkStart w:id="42" w:name="_Toc469235322"/>
      <w:bookmarkStart w:id="43" w:name="_Toc476734957"/>
      <w:r>
        <w:rPr>
          <w:rFonts w:ascii="Times New Roman" w:hAnsi="Times New Roman" w:eastAsia="仿宋_GB2312" w:cs="Times New Roman"/>
          <w:kern w:val="0"/>
          <w:sz w:val="28"/>
          <w:szCs w:val="28"/>
        </w:rPr>
        <w:t>东富镇是东部城镇密集发展带的重点镇、城乡一体化发展区的核心镇，是推进湘赣开放合作、形成产业集群的“</w:t>
      </w:r>
      <w:r>
        <w:fldChar w:fldCharType="begin"/>
      </w:r>
      <w:r>
        <w:instrText xml:space="preserve"> HYPERLINK "http://baike.baidu.com/item/%E6%B9%98%E8%B5%A3%E5%BC%80%E6%94%BE%E5%90%88%E4%BD%9C%E8%AF%95%E9%AA%8C%E5%8C%BA" \t "_blank" </w:instrText>
      </w:r>
      <w: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湘赣开放合作试验区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”。湖南醴陵经济开发区东富工业园坐落于本镇，经济规模较大，工业发展迅速，现已形成以建筑、</w:t>
      </w:r>
      <w:r>
        <w:fldChar w:fldCharType="begin"/>
      </w:r>
      <w:r>
        <w:instrText xml:space="preserve"> HYPERLINK "http://baike.baidu.com/view/4082.htm" \t "http://baike.baidu.com/_blank" </w:instrText>
      </w:r>
      <w: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陶瓷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、</w:t>
      </w:r>
      <w:r>
        <w:fldChar w:fldCharType="begin"/>
      </w:r>
      <w:r>
        <w:instrText xml:space="preserve"> HYPERLINK "http://baike.baidu.com/view/45797.htm" \t "http://baike.baidu.com/_blank" </w:instrText>
      </w:r>
      <w: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橡胶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制品、</w:t>
      </w:r>
      <w:r>
        <w:fldChar w:fldCharType="begin"/>
      </w:r>
      <w:r>
        <w:instrText xml:space="preserve"> HYPERLINK "http://baike.baidu.com/view/1691.htm" \t "http://baike.baidu.com/_blank" </w:instrText>
      </w:r>
      <w: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鞭炮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烟花、包装印刷、帆布</w:t>
      </w:r>
      <w:r>
        <w:rPr>
          <w:rFonts w:ascii="Times New Roman" w:hAnsi="Times New Roman" w:eastAsia="仿宋_GB2312" w:cs="Times New Roman"/>
          <w:sz w:val="28"/>
          <w:szCs w:val="28"/>
        </w:rPr>
        <w:t>手套为主导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产业的工业结构。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：规划修改因调入增加城镇用地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D:\\醴陵调整完善\\表格(净2013)\\乡镇表格\\3东富镇\\乡镇规划附表.xlsx 城!R5C4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358.67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公顷，主要由于东富工业园范围内其他独立建设用地转换为城镇用地。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：规划修改未减少城镇用地。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修改后，城镇用地规模由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D:\\醴陵调整完善\\表格(净2013)\\乡镇表格\\3东富镇\\乡镇规划附表.xlsx 城!R5C1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48.93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D:\\醴陵调整完善\\表格(净2013)\\乡镇表格\\3东富镇\\乡镇规划附表.xlsx 城!R5C11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407.60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D:\\醴陵调整完善\\表格(净2013)\\乡镇表格\\3东富镇\\乡镇规划附表.xlsx 城!R5C10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358.67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表2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东富镇城镇用地布局调整情况表</w:t>
      </w:r>
    </w:p>
    <w:p>
      <w:pPr>
        <w:ind w:firstLine="42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605"/>
        <w:gridCol w:w="1466"/>
        <w:gridCol w:w="1883"/>
        <w:gridCol w:w="2684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年（修改前）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增加①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减少②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净变化①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年（修改后）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8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48.93 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358.67 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358.67 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407.60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44" w:name="_Toc485830026"/>
      <w:r>
        <w:rPr>
          <w:rFonts w:ascii="Times New Roman" w:hAnsi="Times New Roman" w:eastAsia="黑体" w:cs="Times New Roman"/>
          <w:sz w:val="30"/>
          <w:szCs w:val="30"/>
        </w:rPr>
        <w:t>（二）农村居民点用地</w:t>
      </w:r>
      <w:bookmarkEnd w:id="42"/>
      <w:bookmarkEnd w:id="43"/>
      <w:bookmarkEnd w:id="44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4"/>
        </w:rPr>
        <w:t>本次规划修改，按照</w:t>
      </w:r>
      <w:r>
        <w:rPr>
          <w:rFonts w:ascii="Times New Roman" w:hAnsi="Times New Roman" w:eastAsia="仿宋_GB2312" w:cs="Times New Roman"/>
          <w:sz w:val="28"/>
          <w:szCs w:val="28"/>
        </w:rPr>
        <w:t>“农民集中居住、农业集中经营、农田集中耕作”的理念，结合易地扶贫搬迁安置工程及新农村建设，对东富镇农村居民点用地布局进行调整。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：规划修改因农村居民点项目建设调入增加农村居民点用地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D:\\醴陵调整完善\\表格(净2013)\\乡镇表格\\3东富镇\\乡镇规划附表.xlsx 农!R5C4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41.59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公顷，主要分布在森冲村、枧头洲村、东兴居委会。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：规划修改因建设用地内部转换减少农村居民点用地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D:\\醴陵调整完善\\表格(净2013)\\乡镇表格\\3东富镇\\乡镇规划附表.xlsx 农!R5C6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20.89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公顷，主要分布在莲石塘村。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修改后，农村居民点用地规模由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D:\\醴陵调整完善\\表格(净2013)\\乡镇表格\\3东富镇\\乡镇规划附表.xlsx 农!R5C1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687.56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D:\\醴陵调整完善\\表格(净2013)\\乡镇表格\\3东富镇\\乡镇规划附表.xlsx 农!R5C11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708.26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D:\\醴陵调整完善\\表格(净2013)\\乡镇表格\\3东富镇\\乡镇规划附表.xlsx 农!R5C10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20.70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表3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东富镇农村居民点用地布局调整情况表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999"/>
        <w:gridCol w:w="1175"/>
        <w:gridCol w:w="1010"/>
        <w:gridCol w:w="1385"/>
        <w:gridCol w:w="977"/>
        <w:gridCol w:w="1464"/>
        <w:gridCol w:w="15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32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3184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236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46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58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32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还原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建设用地内部转换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46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8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73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687.56 </w:t>
            </w:r>
          </w:p>
        </w:tc>
        <w:tc>
          <w:tcPr>
            <w:tcW w:w="99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18.81 </w:t>
            </w:r>
          </w:p>
        </w:tc>
        <w:tc>
          <w:tcPr>
            <w:tcW w:w="117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22.78 </w:t>
            </w:r>
          </w:p>
        </w:tc>
        <w:tc>
          <w:tcPr>
            <w:tcW w:w="101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41.59 </w:t>
            </w:r>
          </w:p>
        </w:tc>
        <w:tc>
          <w:tcPr>
            <w:tcW w:w="138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20.89</w:t>
            </w:r>
          </w:p>
        </w:tc>
        <w:tc>
          <w:tcPr>
            <w:tcW w:w="97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20.89 </w:t>
            </w:r>
          </w:p>
        </w:tc>
        <w:tc>
          <w:tcPr>
            <w:tcW w:w="146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20.70 </w:t>
            </w:r>
          </w:p>
        </w:tc>
        <w:tc>
          <w:tcPr>
            <w:tcW w:w="1581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708.26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45" w:name="_Toc469235323"/>
      <w:bookmarkStart w:id="46" w:name="_Toc485830027"/>
      <w:bookmarkStart w:id="47" w:name="_Toc476734958"/>
      <w:r>
        <w:rPr>
          <w:rFonts w:ascii="Times New Roman" w:hAnsi="Times New Roman" w:eastAsia="黑体" w:cs="Times New Roman"/>
          <w:sz w:val="30"/>
          <w:szCs w:val="30"/>
        </w:rPr>
        <w:t>（三）采矿及其他独立建设用地</w:t>
      </w:r>
      <w:bookmarkEnd w:id="45"/>
      <w:bookmarkEnd w:id="46"/>
      <w:bookmarkEnd w:id="47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：规划修改因调入增加采矿及其他独立建设用地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D:\\醴陵调整完善\\表格(净2013)\\乡镇表格\\3东富镇\\乡镇规划附表.xlsx 采独!R5C4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2.38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公顷，用于东富镇乡镇企业建设。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：规划修改共减少采矿及其他独立建设用地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D:\\醴陵调整完善\\表格(净2013)\\乡镇表格\\3东富镇\\乡镇规划附表.xlsx 采独!R5C9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323.37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公顷，其中：因调出减少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D:\\醴陵调整完善\\表格(净2013)\\乡镇表格\\3东富镇\\乡镇规划附表.xlsx 采独!R5C5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318.20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公顷，因建设用地内部转换减少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D:\\醴陵调整完善\\表格(净2013)\\乡镇表格\\3东富镇\\乡镇规划附表.xlsx 采独!R5C6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公顷，因土地复垦/农村居民点整理减少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D:\\醴陵调整完善\\表格(净2013)\\乡镇表格\\3东富镇\\乡镇规划附表.xlsx 采独!R5C8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公顷，主要由于东富工业园范围内其他独立建设用地转换为城镇用地。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修改后，采矿及其他独立建设用地规模由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D:\\醴陵调整完善\\表格(净2013)\\乡镇表格\\3东富镇\\乡镇规划附表.xlsx 采独!R5C1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391.88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D:\\醴陵调整完善\\表格(净2013)\\乡镇表格\\3东富镇\\乡镇规划附表.xlsx 采独!R5C11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70.89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D:\\醴陵调整完善\\表格(净2013)\\乡镇表格\\3东富镇\\乡镇规划附表.xlsx 采独!R5C10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320.99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表4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东富镇采矿及其他独立建设用地布局调整情况表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618"/>
        <w:gridCol w:w="617"/>
        <w:gridCol w:w="794"/>
        <w:gridCol w:w="1427"/>
        <w:gridCol w:w="1870"/>
        <w:gridCol w:w="794"/>
        <w:gridCol w:w="1167"/>
        <w:gridCol w:w="14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37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1235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4885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16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①-②</w:t>
            </w:r>
          </w:p>
        </w:tc>
        <w:tc>
          <w:tcPr>
            <w:tcW w:w="1499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37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建设用地内部转换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土地复垦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农村居民点整理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16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99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3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391.88 </w:t>
            </w:r>
          </w:p>
        </w:tc>
        <w:tc>
          <w:tcPr>
            <w:tcW w:w="61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2.38 </w:t>
            </w:r>
          </w:p>
        </w:tc>
        <w:tc>
          <w:tcPr>
            <w:tcW w:w="61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2.38 </w:t>
            </w:r>
          </w:p>
        </w:tc>
        <w:tc>
          <w:tcPr>
            <w:tcW w:w="79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318.20 </w:t>
            </w:r>
          </w:p>
        </w:tc>
        <w:tc>
          <w:tcPr>
            <w:tcW w:w="142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1.85 </w:t>
            </w:r>
          </w:p>
        </w:tc>
        <w:tc>
          <w:tcPr>
            <w:tcW w:w="187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3.32 </w:t>
            </w:r>
          </w:p>
        </w:tc>
        <w:tc>
          <w:tcPr>
            <w:tcW w:w="79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323.37 </w:t>
            </w:r>
          </w:p>
        </w:tc>
        <w:tc>
          <w:tcPr>
            <w:tcW w:w="116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-320.99 </w:t>
            </w:r>
          </w:p>
        </w:tc>
        <w:tc>
          <w:tcPr>
            <w:tcW w:w="1499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70.89 </w:t>
            </w:r>
          </w:p>
        </w:tc>
      </w:tr>
    </w:tbl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48" w:name="_Toc485830028"/>
      <w:bookmarkStart w:id="49" w:name="_Toc476734959"/>
      <w:bookmarkStart w:id="50" w:name="_Toc469235324"/>
      <w:r>
        <w:rPr>
          <w:rFonts w:ascii="Times New Roman" w:hAnsi="Times New Roman" w:eastAsia="黑体" w:cs="Times New Roman"/>
          <w:sz w:val="30"/>
          <w:szCs w:val="30"/>
        </w:rPr>
        <w:t>（四）交通水利用地</w:t>
      </w:r>
      <w:bookmarkEnd w:id="48"/>
      <w:bookmarkEnd w:id="49"/>
      <w:bookmarkEnd w:id="50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：规划修改因调入增加交通水利用地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D:\\醴陵调整完善\\表格(净2013)\\乡镇表格\\3东富镇\\乡镇规划附表.xlsx 交!R5C4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0.00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公顷，由于G106醴陵城区绕城公路（王仙-龙源冲）建设。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4"/>
        </w:rPr>
        <w:t>规划修改调出减少交通水利用地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D:\\醴陵调整完善\\表格(净2013)\\乡镇表格\\3东富镇\\乡镇规划附表.xlsx 交!R5C9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4"/>
        </w:rPr>
        <w:t xml:space="preserve">17.01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修改后，交通水利用地规模由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D:\\醴陵调整完善\\表格(净2013)\\乡镇表格\\3东富镇\\乡镇规划附表.xlsx 交!R5C1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4"/>
        </w:rPr>
        <w:t xml:space="preserve">150.69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公顷调整为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D:\\醴陵调整完善\\表格(净2013)\\乡镇表格\\3东富镇\\乡镇规划附表.xlsx 交!R5C11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4"/>
        </w:rPr>
        <w:t xml:space="preserve">133.68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公顷，净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减少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D:\\醴陵调整完善\\表格(净2013)\\乡镇表格\\3东富镇\\乡镇规划附表.xlsx 交!R5C10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4"/>
        </w:rPr>
        <w:t xml:space="preserve">17.01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表5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东富镇交通水利用地布局调整情况表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4"/>
        </w:rPr>
      </w:pPr>
      <w:r>
        <w:rPr>
          <w:rFonts w:ascii="Times New Roman" w:hAnsi="Times New Roman" w:eastAsia="仿宋_GB2312" w:cs="Times New Roman"/>
          <w:szCs w:val="24"/>
        </w:rPr>
        <w:t>单位：公顷</w:t>
      </w:r>
    </w:p>
    <w:tbl>
      <w:tblPr>
        <w:tblStyle w:val="18"/>
        <w:tblW w:w="103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91"/>
        <w:gridCol w:w="1293"/>
        <w:gridCol w:w="1290"/>
        <w:gridCol w:w="1290"/>
        <w:gridCol w:w="1290"/>
        <w:gridCol w:w="1290"/>
        <w:gridCol w:w="12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2020年（修改前）</w:t>
            </w:r>
          </w:p>
        </w:tc>
        <w:tc>
          <w:tcPr>
            <w:tcW w:w="258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增加①</w:t>
            </w:r>
          </w:p>
        </w:tc>
        <w:tc>
          <w:tcPr>
            <w:tcW w:w="3870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减少②</w:t>
            </w:r>
          </w:p>
        </w:tc>
        <w:tc>
          <w:tcPr>
            <w:tcW w:w="1290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净变化①-②</w:t>
            </w:r>
          </w:p>
        </w:tc>
        <w:tc>
          <w:tcPr>
            <w:tcW w:w="1288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2020年（修改后）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91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调入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小计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调出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建设占用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小计</w:t>
            </w:r>
          </w:p>
        </w:tc>
        <w:tc>
          <w:tcPr>
            <w:tcW w:w="1290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1288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150.69 </w:t>
            </w:r>
          </w:p>
        </w:tc>
        <w:tc>
          <w:tcPr>
            <w:tcW w:w="129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9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9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17.01 </w:t>
            </w:r>
          </w:p>
        </w:tc>
        <w:tc>
          <w:tcPr>
            <w:tcW w:w="129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9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17.01 </w:t>
            </w:r>
          </w:p>
        </w:tc>
        <w:tc>
          <w:tcPr>
            <w:tcW w:w="129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-17.01 </w:t>
            </w:r>
          </w:p>
        </w:tc>
        <w:tc>
          <w:tcPr>
            <w:tcW w:w="1288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133.68 </w:t>
            </w:r>
          </w:p>
        </w:tc>
      </w:tr>
    </w:tbl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51" w:name="_Toc469235325"/>
      <w:bookmarkStart w:id="52" w:name="_Toc476734960"/>
      <w:bookmarkStart w:id="53" w:name="_Toc485830029"/>
      <w:r>
        <w:rPr>
          <w:rFonts w:ascii="Times New Roman" w:hAnsi="Times New Roman" w:eastAsia="黑体" w:cs="Times New Roman"/>
          <w:sz w:val="30"/>
          <w:szCs w:val="30"/>
        </w:rPr>
        <w:br w:type="column"/>
      </w:r>
      <w:r>
        <w:rPr>
          <w:rFonts w:ascii="Times New Roman" w:hAnsi="Times New Roman" w:eastAsia="黑体" w:cs="Times New Roman"/>
          <w:sz w:val="30"/>
          <w:szCs w:val="30"/>
        </w:rPr>
        <w:t>（五）其他建设用地</w:t>
      </w:r>
      <w:bookmarkEnd w:id="51"/>
      <w:bookmarkEnd w:id="52"/>
      <w:bookmarkEnd w:id="53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规划修改未涉及其他建设用地的调整，保持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D:\\醴陵调整完善\\表格(净2013)\\乡镇表格\\3东富镇\\乡镇规划附表.xlsx 其!R5C11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4"/>
        </w:rPr>
        <w:t xml:space="preserve">11.11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公顷不变。</w:t>
      </w:r>
    </w:p>
    <w:p>
      <w:pPr>
        <w:spacing w:beforeLines="50" w:line="360" w:lineRule="auto"/>
        <w:jc w:val="left"/>
        <w:outlineLvl w:val="0"/>
        <w:rPr>
          <w:rFonts w:ascii="Times New Roman" w:hAnsi="Times New Roman" w:cs="Times New Roman"/>
          <w:sz w:val="32"/>
          <w:szCs w:val="24"/>
        </w:rPr>
      </w:pPr>
      <w:bookmarkStart w:id="54" w:name="_Toc469235329"/>
      <w:bookmarkStart w:id="55" w:name="_Toc485830030"/>
      <w:bookmarkStart w:id="56" w:name="_Toc476734961"/>
      <w:r>
        <w:rPr>
          <w:rFonts w:ascii="Times New Roman" w:hAnsi="Times New Roman" w:cs="Times New Roman"/>
          <w:sz w:val="32"/>
          <w:szCs w:val="24"/>
        </w:rPr>
        <w:t>六、</w:t>
      </w:r>
      <w:bookmarkEnd w:id="54"/>
      <w:r>
        <w:rPr>
          <w:rFonts w:ascii="Times New Roman" w:hAnsi="Times New Roman" w:cs="Times New Roman"/>
          <w:sz w:val="32"/>
          <w:szCs w:val="24"/>
        </w:rPr>
        <w:t>土地利用分区调整情况</w:t>
      </w:r>
      <w:bookmarkEnd w:id="55"/>
      <w:bookmarkEnd w:id="56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57" w:name="_Toc476734962"/>
      <w:bookmarkStart w:id="58" w:name="_Toc469235330"/>
      <w:bookmarkStart w:id="59" w:name="_Toc485830031"/>
      <w:r>
        <w:rPr>
          <w:rFonts w:ascii="Times New Roman" w:hAnsi="Times New Roman" w:eastAsia="黑体" w:cs="Times New Roman"/>
          <w:sz w:val="30"/>
          <w:szCs w:val="30"/>
        </w:rPr>
        <w:t>（一）土地用途分区修改</w:t>
      </w:r>
      <w:bookmarkEnd w:id="57"/>
      <w:bookmarkEnd w:id="58"/>
      <w:bookmarkEnd w:id="59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修改后，将东富镇土地划分为六个用途区，包括：基本农田保护区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D:\\醴陵调整完善\\表格(净2013)\\乡镇表格\\3东富镇\\乡镇规划附表.xlsx 用途区!R3C3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4"/>
        </w:rPr>
        <w:t xml:space="preserve">2591.68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公顷、一般农地区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D:\\醴陵调整完善\\表格(净2013)\\乡镇表格\\3东富镇\\乡镇规划附表.xlsx 用途区!R4C3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>625.64</w:t>
      </w:r>
      <w:r>
        <w:rPr>
          <w:rFonts w:ascii="Times New Roman" w:hAnsi="Times New Roman" w:eastAsia="仿宋_GB2312" w:cs="Times New Roman"/>
          <w:sz w:val="28"/>
          <w:szCs w:val="24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公顷、城镇建设用地区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D:\\醴陵调整完善\\表格(净2013)\\乡镇表格\\3东富镇\\乡镇规划附表.xlsx 用途区!R5C3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4"/>
        </w:rPr>
        <w:t xml:space="preserve">413.27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公顷、村镇建设用地区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D:\\醴陵调整完善\\表格(净2013)\\乡镇表格\\3东富镇\\乡镇规划附表.xlsx 用途区!R6C3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4"/>
        </w:rPr>
        <w:t xml:space="preserve">723.61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公顷、独立工矿区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D:\\醴陵调整完善\\表格(净2013)\\乡镇表格\\3东富镇\\乡镇规划附表.xlsx 用途区!R7C3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4"/>
        </w:rPr>
        <w:t xml:space="preserve">72.37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公顷和林业用地区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D:\\醴陵调整完善\\表格(净2013)\\乡镇表格\\3东富镇\\乡镇规划附表.xlsx 用途区!R10C3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4"/>
        </w:rPr>
        <w:t xml:space="preserve">2750.90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公顷。</w:t>
      </w:r>
    </w:p>
    <w:bookmarkEnd w:id="30"/>
    <w:bookmarkEnd w:id="31"/>
    <w:bookmarkEnd w:id="32"/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60" w:name="_Toc485830032"/>
      <w:bookmarkStart w:id="61" w:name="_Toc476734963"/>
      <w:bookmarkStart w:id="62" w:name="_Toc469235331"/>
      <w:r>
        <w:rPr>
          <w:rFonts w:ascii="Times New Roman" w:hAnsi="Times New Roman" w:eastAsia="黑体" w:cs="Times New Roman"/>
          <w:sz w:val="30"/>
          <w:szCs w:val="30"/>
        </w:rPr>
        <w:t>（二）建设用地管制分区修改</w:t>
      </w:r>
      <w:bookmarkEnd w:id="60"/>
      <w:bookmarkEnd w:id="61"/>
      <w:bookmarkEnd w:id="62"/>
    </w:p>
    <w:p>
      <w:pPr>
        <w:spacing w:line="360" w:lineRule="auto"/>
        <w:ind w:firstLine="560" w:firstLineChars="2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为加强对城乡建设用地的空间管制，本次规划修改，根据土地管理需要，因地制宜地将规划范围内的土地划分为三个区，分别为允许建设区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D:\\醴陵调整完善\\表格(净2013)\\乡镇表格\\3东富镇\\乡镇规划附表.xlsx 管制区!R3C3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1186.75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公顷、有条件建设区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D:\\醴陵调整完善\\表格(净2013)\\乡镇表格\\3东富镇\\乡镇规划附表.xlsx 管制区!R4C3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116.63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公顷和限制建设区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D:\\醴陵调整完善\\表格(净2013)\\乡镇表格\\3东富镇\\乡镇规划附表.xlsx 管制区!R5C3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6734.08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公顷。其中：允许建设区较修改前增加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D:\\醴陵调整完善\\表格(净2013)\\乡镇表格\\3东富镇\\乡镇规划附表.xlsx 管制区!R3C4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58.38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公顷，有条件建设区较修改前增加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D:\\醴陵调整完善\\表格(净2013)\\乡镇表格\\3东富镇\\乡镇规划附表.xlsx 管制区!R4C4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116.63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公顷，用于保障东富工业园远期规划扩展；限制建设区相应较修改前减少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D:\\醴陵调整完善\\表格(净2013)\\乡镇表格\\3东富镇\\乡镇规划附表.xlsx 管制区!R5C4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175.01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公顷。</w:t>
      </w:r>
      <w:bookmarkStart w:id="63" w:name="_Toc469235332"/>
      <w:bookmarkStart w:id="64" w:name="_Toc476734964"/>
      <w:bookmarkStart w:id="65" w:name="_Toc485830033"/>
      <w:bookmarkStart w:id="66" w:name="_Toc476734965"/>
      <w:bookmarkStart w:id="67" w:name="_Toc485830034"/>
    </w:p>
    <w:p>
      <w:pPr>
        <w:spacing w:line="360" w:lineRule="auto"/>
        <w:ind w:firstLine="480" w:firstLineChars="200"/>
        <w:rPr>
          <w:rFonts w:ascii="Times New Roman" w:hAnsi="Times New Roman" w:eastAsia="黑体" w:cs="Times New Roman"/>
          <w:sz w:val="24"/>
          <w:szCs w:val="24"/>
        </w:rPr>
      </w:pPr>
    </w:p>
    <w:bookmarkEnd w:id="63"/>
    <w:bookmarkEnd w:id="64"/>
    <w:bookmarkEnd w:id="65"/>
    <w:bookmarkEnd w:id="66"/>
    <w:bookmarkEnd w:id="67"/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  <w:sectPr>
          <w:headerReference r:id="rId10" w:type="default"/>
          <w:footerReference r:id="rId11" w:type="default"/>
          <w:type w:val="continuous"/>
          <w:pgSz w:w="23814" w:h="16839" w:orient="landscape"/>
          <w:pgMar w:top="1440" w:right="1440" w:bottom="1701" w:left="1440" w:header="851" w:footer="992" w:gutter="0"/>
          <w:pgNumType w:start="1"/>
          <w:cols w:space="720" w:num="2"/>
          <w:docGrid w:type="lines" w:linePitch="312" w:charSpace="0"/>
        </w:sectPr>
      </w:pPr>
    </w:p>
    <w:p>
      <w:pPr>
        <w:widowControl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68" w:name="_Toc476734966"/>
      <w:bookmarkStart w:id="69" w:name="_Toc485830035"/>
      <w:bookmarkStart w:id="70" w:name="_Toc469235333"/>
    </w:p>
    <w:p>
      <w:pPr>
        <w:widowControl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附表</w:t>
      </w: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附表1  东富镇土地利用现状表（2014年）</w:t>
      </w:r>
    </w:p>
    <w:p>
      <w:pPr>
        <w:jc w:val="righ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单位：公顷、%</w:t>
      </w:r>
    </w:p>
    <w:tbl>
      <w:tblPr>
        <w:tblStyle w:val="18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3071"/>
        <w:gridCol w:w="5326"/>
        <w:gridCol w:w="5008"/>
        <w:gridCol w:w="4378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764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地类</w:t>
            </w:r>
          </w:p>
        </w:tc>
        <w:tc>
          <w:tcPr>
            <w:tcW w:w="938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2014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764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76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土地总面积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8037.46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2711.11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33.73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42.27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2885.58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35.90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1149.98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14.31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6788.94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84.47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30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</w:t>
            </w:r>
          </w:p>
        </w:tc>
        <w:tc>
          <w:tcPr>
            <w:tcW w:w="53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120.30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7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3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830.97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10.34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7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3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37.54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7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3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7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3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988.81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12.30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106.76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11.90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1107.47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13.78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51.54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0.64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89.51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6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50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141.05</w:t>
            </w:r>
          </w:p>
        </w:tc>
        <w:tc>
          <w:tcPr>
            <w:tcW w:w="43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1.75</w:t>
            </w:r>
          </w:p>
        </w:tc>
      </w:tr>
    </w:tbl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附表2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东富镇土地利用结构调整表</w:t>
      </w:r>
      <w:bookmarkEnd w:id="68"/>
      <w:bookmarkEnd w:id="69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单位:公顷、%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155"/>
        <w:gridCol w:w="2013"/>
        <w:gridCol w:w="1823"/>
        <w:gridCol w:w="1751"/>
        <w:gridCol w:w="1823"/>
        <w:gridCol w:w="1641"/>
        <w:gridCol w:w="1861"/>
        <w:gridCol w:w="1751"/>
        <w:gridCol w:w="1713"/>
        <w:gridCol w:w="1713"/>
        <w:gridCol w:w="26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4" w:type="dxa"/>
            <w:gridSpan w:val="3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357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2005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46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61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规划修改前（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年）</w:t>
            </w:r>
          </w:p>
        </w:tc>
        <w:tc>
          <w:tcPr>
            <w:tcW w:w="3426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640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年（修改后）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-2014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4" w:type="dxa"/>
            <w:gridSpan w:val="3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2640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土地总面积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8037.46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8037.46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8037.46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8037.46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农用地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2576.35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32.05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2711.11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33.73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2588.72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32.21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2632.18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32.75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-78.93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园地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42.79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0.53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42.27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0.53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131.10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1.63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130.78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1.63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88.51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3096.57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38.53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2885.58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35.90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2838.16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35.31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2758.43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34.32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-127.15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牧草地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其他农用地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1161.41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14.45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1149.98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14.31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1073.36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13.35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1073.10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13.35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-76.88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6877.12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85.56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6788.94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84.47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6631.34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82.51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6594.50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82.05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-194.44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建设用地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城乡建设用地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城镇用地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35.50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0.44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120.30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1.50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48.93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0.61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407.60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5.07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287.30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农村居民点用地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810.05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10.08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830.97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10.34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687.56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8.55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708.26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8.81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-122.71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采矿用地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38.39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0.48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37.54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0.47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32.93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0.41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27.76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0.35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-9.78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其他独立建设用地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358.95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4.47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43.13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0.54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43.13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883.94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988.81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12.30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1128.37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14.04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1186.75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14.77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197.94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交通水利用地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107.30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1.33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106.76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1.33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150.69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1.87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133.68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1.66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其他建设用地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12.02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11.90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11.11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11.11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-0.79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1003.26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12.48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1107.47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13.78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1290.17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16.05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1331.54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16.57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224.07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restart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其他土地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水域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51.76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51.54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51.54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51.54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自然保留地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105.32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1.31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89.51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1.11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64.41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0.80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59.88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-29.63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2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157.08</w:t>
            </w:r>
          </w:p>
        </w:tc>
        <w:tc>
          <w:tcPr>
            <w:tcW w:w="175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1.95</w:t>
            </w:r>
          </w:p>
        </w:tc>
        <w:tc>
          <w:tcPr>
            <w:tcW w:w="182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141.05</w:t>
            </w:r>
          </w:p>
        </w:tc>
        <w:tc>
          <w:tcPr>
            <w:tcW w:w="164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1.75</w:t>
            </w:r>
          </w:p>
        </w:tc>
        <w:tc>
          <w:tcPr>
            <w:tcW w:w="186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115.95</w:t>
            </w:r>
          </w:p>
        </w:tc>
        <w:tc>
          <w:tcPr>
            <w:tcW w:w="175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1.44</w:t>
            </w:r>
          </w:p>
        </w:tc>
        <w:tc>
          <w:tcPr>
            <w:tcW w:w="17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111.42</w:t>
            </w:r>
          </w:p>
        </w:tc>
        <w:tc>
          <w:tcPr>
            <w:tcW w:w="17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1.39</w:t>
            </w:r>
          </w:p>
        </w:tc>
        <w:tc>
          <w:tcPr>
            <w:tcW w:w="264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-29.63</w:t>
            </w:r>
          </w:p>
        </w:tc>
      </w:tr>
    </w:tbl>
    <w:p>
      <w:pPr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  <w:sectPr>
          <w:type w:val="continuous"/>
          <w:pgSz w:w="23814" w:h="16839" w:orient="landscape"/>
          <w:pgMar w:top="1701" w:right="1440" w:bottom="144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71" w:name="_Toc485830036"/>
      <w:bookmarkStart w:id="72" w:name="_Toc476734967"/>
      <w:r>
        <w:rPr>
          <w:rFonts w:ascii="Times New Roman" w:hAnsi="Times New Roman" w:eastAsia="黑体" w:cs="Times New Roman"/>
          <w:sz w:val="24"/>
          <w:szCs w:val="24"/>
        </w:rPr>
        <w:t>附表3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东富镇</w:t>
      </w:r>
      <w:bookmarkEnd w:id="70"/>
      <w:r>
        <w:rPr>
          <w:rFonts w:ascii="Times New Roman" w:hAnsi="Times New Roman" w:eastAsia="黑体" w:cs="Times New Roman"/>
          <w:sz w:val="24"/>
          <w:szCs w:val="24"/>
        </w:rPr>
        <w:t>土地利用规划目标调整表</w:t>
      </w:r>
      <w:bookmarkEnd w:id="71"/>
      <w:bookmarkEnd w:id="72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6996"/>
        <w:gridCol w:w="3989"/>
        <w:gridCol w:w="3240"/>
        <w:gridCol w:w="2889"/>
        <w:gridCol w:w="2779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25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398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规划修改前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88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2580.00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2615.50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35.50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2087.95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2218.00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130.05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1290.17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1331.54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41.37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1128.37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1186.75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58.38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440.81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478.49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37.68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增量目标</w:t>
            </w: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441.98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486.67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44.69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新增建设占用农用地规模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418.67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463.25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44.58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新增建设占用耕地规模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129.49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130.43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0.94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补充耕地任务量</w:t>
            </w:r>
          </w:p>
        </w:tc>
        <w:tc>
          <w:tcPr>
            <w:tcW w:w="39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142.65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267.08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124.43</w:t>
            </w:r>
          </w:p>
        </w:tc>
        <w:tc>
          <w:tcPr>
            <w:tcW w:w="27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73" w:name="_Toc485830037"/>
      <w:bookmarkStart w:id="74" w:name="_Toc476734968"/>
      <w:r>
        <w:rPr>
          <w:rFonts w:ascii="Times New Roman" w:hAnsi="Times New Roman" w:eastAsia="黑体" w:cs="Times New Roman"/>
          <w:sz w:val="24"/>
          <w:szCs w:val="24"/>
        </w:rPr>
        <w:t>附表4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东富镇落实上一级土地利用规划指标情况表</w:t>
      </w:r>
      <w:bookmarkEnd w:id="73"/>
      <w:bookmarkEnd w:id="74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7009"/>
        <w:gridCol w:w="4006"/>
        <w:gridCol w:w="3147"/>
        <w:gridCol w:w="2864"/>
        <w:gridCol w:w="28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5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400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上级规划下达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年目标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14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本镇规划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年落实数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86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2868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2615.50</w:t>
            </w:r>
          </w:p>
        </w:tc>
        <w:tc>
          <w:tcPr>
            <w:tcW w:w="3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2632.18</w:t>
            </w: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16.68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2218.00</w:t>
            </w:r>
          </w:p>
        </w:tc>
        <w:tc>
          <w:tcPr>
            <w:tcW w:w="3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2218.85</w:t>
            </w: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1331.54</w:t>
            </w:r>
          </w:p>
        </w:tc>
        <w:tc>
          <w:tcPr>
            <w:tcW w:w="3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1331.54</w:t>
            </w: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1186.75</w:t>
            </w:r>
          </w:p>
        </w:tc>
        <w:tc>
          <w:tcPr>
            <w:tcW w:w="3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1186.75</w:t>
            </w: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6" w:type="dxa"/>
            <w:vMerge w:val="continue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00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400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478.49</w:t>
            </w:r>
          </w:p>
        </w:tc>
        <w:tc>
          <w:tcPr>
            <w:tcW w:w="314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478.49</w:t>
            </w:r>
          </w:p>
        </w:tc>
        <w:tc>
          <w:tcPr>
            <w:tcW w:w="286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68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type w:val="continuous"/>
          <w:pgSz w:w="23814" w:h="16839" w:orient="landscape"/>
          <w:pgMar w:top="1440" w:right="1440" w:bottom="1701" w:left="1440" w:header="851" w:footer="992" w:gutter="0"/>
          <w:cols w:space="720" w:num="1"/>
          <w:docGrid w:type="lines" w:linePitch="312" w:charSpace="0"/>
        </w:sectPr>
      </w:pPr>
      <w:bookmarkStart w:id="75" w:name="_Toc469235338"/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bookmarkStart w:id="76" w:name="_Toc469235336"/>
      <w:bookmarkStart w:id="77" w:name="_Toc476734969"/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78" w:name="_Toc485830038"/>
      <w:r>
        <w:rPr>
          <w:rFonts w:ascii="Times New Roman" w:hAnsi="Times New Roman" w:eastAsia="黑体" w:cs="Times New Roman"/>
          <w:sz w:val="24"/>
          <w:szCs w:val="24"/>
        </w:rPr>
        <w:t>附表5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调入区域规划调整前后对比表</w:t>
      </w:r>
      <w:bookmarkEnd w:id="76"/>
      <w:bookmarkEnd w:id="77"/>
      <w:bookmarkEnd w:id="78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4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51"/>
        <w:gridCol w:w="1051"/>
        <w:gridCol w:w="1051"/>
        <w:gridCol w:w="1639"/>
        <w:gridCol w:w="1086"/>
        <w:gridCol w:w="1682"/>
        <w:gridCol w:w="2309"/>
        <w:gridCol w:w="1262"/>
        <w:gridCol w:w="1472"/>
        <w:gridCol w:w="1047"/>
        <w:gridCol w:w="1266"/>
        <w:gridCol w:w="1472"/>
        <w:gridCol w:w="40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388" w:type="dxa"/>
            <w:gridSpan w:val="1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4068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林地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牧草地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农用地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城镇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用地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其他建设用地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小计</w:t>
            </w:r>
          </w:p>
        </w:tc>
        <w:tc>
          <w:tcPr>
            <w:tcW w:w="4068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85.04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210.67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21.56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20.78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1.85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18.77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358.67</w:t>
            </w:r>
          </w:p>
        </w:tc>
        <w:tc>
          <w:tcPr>
            <w:tcW w:w="40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2.39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0.09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16.10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0.17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22.78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0.06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41.59</w:t>
            </w:r>
          </w:p>
        </w:tc>
        <w:tc>
          <w:tcPr>
            <w:tcW w:w="40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0.35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0.05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1.71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0.09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0.11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0.07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2.38</w:t>
            </w:r>
          </w:p>
        </w:tc>
        <w:tc>
          <w:tcPr>
            <w:tcW w:w="40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40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40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87.78</w:t>
            </w:r>
          </w:p>
        </w:tc>
        <w:tc>
          <w:tcPr>
            <w:tcW w:w="105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0.14</w:t>
            </w:r>
          </w:p>
        </w:tc>
        <w:tc>
          <w:tcPr>
            <w:tcW w:w="105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228.48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39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21.82</w:t>
            </w:r>
          </w:p>
        </w:tc>
        <w:tc>
          <w:tcPr>
            <w:tcW w:w="108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8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20.89</w:t>
            </w:r>
          </w:p>
        </w:tc>
        <w:tc>
          <w:tcPr>
            <w:tcW w:w="230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24.63</w:t>
            </w:r>
          </w:p>
        </w:tc>
        <w:tc>
          <w:tcPr>
            <w:tcW w:w="126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7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4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6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18.89</w:t>
            </w:r>
          </w:p>
        </w:tc>
        <w:tc>
          <w:tcPr>
            <w:tcW w:w="147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402.63</w:t>
            </w:r>
          </w:p>
        </w:tc>
        <w:tc>
          <w:tcPr>
            <w:tcW w:w="4068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</w:tr>
    </w:tbl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79" w:name="_Toc485830039"/>
      <w:bookmarkStart w:id="80" w:name="_Toc476734970"/>
      <w:bookmarkStart w:id="81" w:name="_Toc469235337"/>
      <w:r>
        <w:rPr>
          <w:rFonts w:ascii="Times New Roman" w:hAnsi="Times New Roman" w:eastAsia="黑体" w:cs="Times New Roman"/>
          <w:sz w:val="24"/>
          <w:szCs w:val="24"/>
        </w:rPr>
        <w:t>附表6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调出区域规划调整前后对比表</w:t>
      </w:r>
      <w:bookmarkEnd w:id="79"/>
      <w:bookmarkEnd w:id="80"/>
      <w:bookmarkEnd w:id="81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4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3"/>
        <w:gridCol w:w="978"/>
        <w:gridCol w:w="283"/>
        <w:gridCol w:w="1047"/>
        <w:gridCol w:w="1056"/>
        <w:gridCol w:w="1262"/>
        <w:gridCol w:w="1262"/>
        <w:gridCol w:w="1262"/>
        <w:gridCol w:w="1678"/>
        <w:gridCol w:w="2313"/>
        <w:gridCol w:w="1472"/>
        <w:gridCol w:w="1468"/>
        <w:gridCol w:w="1051"/>
        <w:gridCol w:w="1257"/>
        <w:gridCol w:w="11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43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978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6535" w:type="dxa"/>
            <w:gridSpan w:val="13"/>
            <w:tcBorders>
              <w:top w:val="double" w:color="auto" w:sz="6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43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林地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牧草地</w:t>
            </w:r>
          </w:p>
        </w:tc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农用地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城镇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用地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其他建设用地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20.78 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0.11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20.89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78.33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180.08 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21.56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1.85 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22.78 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18.77 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323.37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11.81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5.20 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17.01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4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90.14 </w:t>
            </w:r>
          </w:p>
        </w:tc>
        <w:tc>
          <w:tcPr>
            <w:tcW w:w="104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5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185.28 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62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21.56 </w:t>
            </w:r>
          </w:p>
        </w:tc>
        <w:tc>
          <w:tcPr>
            <w:tcW w:w="126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22.63 </w:t>
            </w:r>
          </w:p>
        </w:tc>
        <w:tc>
          <w:tcPr>
            <w:tcW w:w="16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22.78 </w:t>
            </w:r>
          </w:p>
        </w:tc>
        <w:tc>
          <w:tcPr>
            <w:tcW w:w="23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0.11 </w:t>
            </w:r>
          </w:p>
        </w:tc>
        <w:tc>
          <w:tcPr>
            <w:tcW w:w="147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6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5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5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18.77 </w:t>
            </w:r>
          </w:p>
        </w:tc>
        <w:tc>
          <w:tcPr>
            <w:tcW w:w="1124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361.26 </w:t>
            </w:r>
          </w:p>
        </w:tc>
      </w:tr>
    </w:tbl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 w:val="28"/>
          <w:szCs w:val="24"/>
        </w:rPr>
        <w:sectPr>
          <w:type w:val="continuous"/>
          <w:pgSz w:w="23814" w:h="16839" w:orient="landscape"/>
          <w:pgMar w:top="1701" w:right="1134" w:bottom="1701" w:left="1440" w:header="851" w:footer="992" w:gutter="0"/>
          <w:cols w:space="720" w:num="1"/>
          <w:docGrid w:type="lines" w:linePitch="381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82" w:name="_Toc476734971"/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83" w:name="_Toc485830040"/>
      <w:r>
        <w:rPr>
          <w:rFonts w:ascii="Times New Roman" w:hAnsi="Times New Roman" w:eastAsia="黑体" w:cs="Times New Roman"/>
          <w:sz w:val="24"/>
          <w:szCs w:val="24"/>
        </w:rPr>
        <w:t>附表7  东富镇耕地保有量和基本农田保护面积分解表</w:t>
      </w:r>
      <w:bookmarkEnd w:id="82"/>
      <w:bookmarkEnd w:id="83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7"/>
        <w:gridCol w:w="5287"/>
        <w:gridCol w:w="5288"/>
        <w:gridCol w:w="52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8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28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规划年2020耕地保有量</w:t>
            </w:r>
          </w:p>
        </w:tc>
        <w:tc>
          <w:tcPr>
            <w:tcW w:w="5288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规划期间基本农田保护面积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楚同桥村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236.15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198.16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东富村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303.45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266.21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东兴居委会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285.29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253.35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横新村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268.90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219.73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枧头洲村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140.35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115.62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莲旗村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159.75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105.20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莲石塘村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212.86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183.44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龙源村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177.65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150.04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森冲村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246.73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201.46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西林村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279.91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237.08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址泉村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321.14</w:t>
            </w:r>
          </w:p>
        </w:tc>
        <w:tc>
          <w:tcPr>
            <w:tcW w:w="5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288.56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8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28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东富镇</w:t>
            </w:r>
          </w:p>
        </w:tc>
        <w:tc>
          <w:tcPr>
            <w:tcW w:w="528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2632.18</w:t>
            </w:r>
          </w:p>
        </w:tc>
        <w:tc>
          <w:tcPr>
            <w:tcW w:w="5288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2218.85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bookmarkStart w:id="84" w:name="_Toc476734972"/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85" w:name="_Toc485830041"/>
      <w:r>
        <w:rPr>
          <w:rFonts w:ascii="Times New Roman" w:hAnsi="Times New Roman" w:eastAsia="黑体" w:cs="Times New Roman"/>
          <w:sz w:val="24"/>
          <w:szCs w:val="24"/>
        </w:rPr>
        <w:t>附表8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东富镇</w:t>
      </w:r>
      <w:bookmarkEnd w:id="75"/>
      <w:r>
        <w:rPr>
          <w:rFonts w:ascii="Times New Roman" w:hAnsi="Times New Roman" w:eastAsia="黑体" w:cs="Times New Roman"/>
          <w:sz w:val="24"/>
          <w:szCs w:val="24"/>
        </w:rPr>
        <w:t>土地用途分区修改情况表</w:t>
      </w:r>
      <w:bookmarkEnd w:id="84"/>
      <w:bookmarkEnd w:id="85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9"/>
        <w:gridCol w:w="5262"/>
        <w:gridCol w:w="5457"/>
        <w:gridCol w:w="52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16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用途分区类型</w:t>
            </w:r>
          </w:p>
        </w:tc>
        <w:tc>
          <w:tcPr>
            <w:tcW w:w="526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年（修改前）</w:t>
            </w:r>
          </w:p>
        </w:tc>
        <w:tc>
          <w:tcPr>
            <w:tcW w:w="545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年（修改后）</w:t>
            </w:r>
          </w:p>
        </w:tc>
        <w:tc>
          <w:tcPr>
            <w:tcW w:w="5262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修改后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修改前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基本农田保护区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2460.78 </w:t>
            </w:r>
          </w:p>
        </w:tc>
        <w:tc>
          <w:tcPr>
            <w:tcW w:w="5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2591.68 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130.90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一般农地区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1257.55 </w:t>
            </w:r>
          </w:p>
        </w:tc>
        <w:tc>
          <w:tcPr>
            <w:tcW w:w="5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625.64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-631.91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城镇建设用地区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54.60 </w:t>
            </w:r>
          </w:p>
        </w:tc>
        <w:tc>
          <w:tcPr>
            <w:tcW w:w="5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413.27 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358.67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村镇建设用地区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702.91 </w:t>
            </w:r>
          </w:p>
        </w:tc>
        <w:tc>
          <w:tcPr>
            <w:tcW w:w="5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723.61 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20.70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独立工矿区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393.36 </w:t>
            </w:r>
          </w:p>
        </w:tc>
        <w:tc>
          <w:tcPr>
            <w:tcW w:w="5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72.37 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-320.99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风景旅游用地区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11.11 </w:t>
            </w:r>
          </w:p>
        </w:tc>
        <w:tc>
          <w:tcPr>
            <w:tcW w:w="5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52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-11.11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6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林业用地区</w:t>
            </w:r>
          </w:p>
        </w:tc>
        <w:tc>
          <w:tcPr>
            <w:tcW w:w="526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2830.62 </w:t>
            </w:r>
          </w:p>
        </w:tc>
        <w:tc>
          <w:tcPr>
            <w:tcW w:w="545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2750.90 </w:t>
            </w:r>
          </w:p>
        </w:tc>
        <w:tc>
          <w:tcPr>
            <w:tcW w:w="5262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-79.73 </w:t>
            </w:r>
          </w:p>
        </w:tc>
      </w:tr>
    </w:tbl>
    <w:p>
      <w:pPr>
        <w:snapToGrid w:val="0"/>
        <w:ind w:right="105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86" w:name="_Toc469235339"/>
      <w:bookmarkStart w:id="87" w:name="_Toc476734973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88" w:name="_Toc485830042"/>
      <w:r>
        <w:rPr>
          <w:rFonts w:ascii="Times New Roman" w:hAnsi="Times New Roman" w:eastAsia="黑体" w:cs="Times New Roman"/>
          <w:sz w:val="24"/>
          <w:szCs w:val="24"/>
        </w:rPr>
        <w:t>附表9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ascii="Times New Roman" w:hAnsi="Times New Roman" w:eastAsia="黑体" w:cs="Times New Roman"/>
          <w:sz w:val="24"/>
          <w:szCs w:val="24"/>
        </w:rPr>
        <w:t>东富镇建设用地空间管制分区修改情况表</w:t>
      </w:r>
      <w:bookmarkEnd w:id="86"/>
      <w:bookmarkEnd w:id="87"/>
      <w:bookmarkEnd w:id="88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161"/>
        <w:gridCol w:w="5469"/>
        <w:gridCol w:w="5309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管制分区类型</w:t>
            </w:r>
          </w:p>
        </w:tc>
        <w:tc>
          <w:tcPr>
            <w:tcW w:w="51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5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  <w:tc>
          <w:tcPr>
            <w:tcW w:w="53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允许建设区</w:t>
            </w:r>
          </w:p>
        </w:tc>
        <w:tc>
          <w:tcPr>
            <w:tcW w:w="51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1128.37 </w:t>
            </w:r>
          </w:p>
        </w:tc>
        <w:tc>
          <w:tcPr>
            <w:tcW w:w="546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1186.75 </w:t>
            </w:r>
          </w:p>
        </w:tc>
        <w:tc>
          <w:tcPr>
            <w:tcW w:w="53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58.38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有条件建设区</w:t>
            </w:r>
          </w:p>
        </w:tc>
        <w:tc>
          <w:tcPr>
            <w:tcW w:w="51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546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116.63 </w:t>
            </w:r>
          </w:p>
        </w:tc>
        <w:tc>
          <w:tcPr>
            <w:tcW w:w="53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116.63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限制建设区</w:t>
            </w:r>
          </w:p>
        </w:tc>
        <w:tc>
          <w:tcPr>
            <w:tcW w:w="51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6909.09 </w:t>
            </w:r>
          </w:p>
        </w:tc>
        <w:tc>
          <w:tcPr>
            <w:tcW w:w="546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6734.08 </w:t>
            </w:r>
          </w:p>
        </w:tc>
        <w:tc>
          <w:tcPr>
            <w:tcW w:w="53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-175.01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禁止建设区</w:t>
            </w:r>
          </w:p>
        </w:tc>
        <w:tc>
          <w:tcPr>
            <w:tcW w:w="51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546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53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516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8037.46</w:t>
            </w:r>
          </w:p>
        </w:tc>
        <w:tc>
          <w:tcPr>
            <w:tcW w:w="546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8037.46</w:t>
            </w:r>
          </w:p>
        </w:tc>
        <w:tc>
          <w:tcPr>
            <w:tcW w:w="53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</w:tr>
    </w:tbl>
    <w:p>
      <w:pPr>
        <w:spacing w:afterLines="100"/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89" w:name="_Toc476734974"/>
      <w:bookmarkStart w:id="90" w:name="_Toc469235340"/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spacing w:afterLines="100"/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91" w:name="_Toc485830043"/>
      <w:r>
        <w:rPr>
          <w:rFonts w:ascii="Times New Roman" w:hAnsi="Times New Roman" w:eastAsia="黑体" w:cs="Times New Roman"/>
          <w:sz w:val="24"/>
          <w:szCs w:val="24"/>
        </w:rPr>
        <w:t>附表10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东富镇2016-2020年重点建设用地项目规划表</w:t>
      </w:r>
      <w:bookmarkEnd w:id="89"/>
      <w:bookmarkEnd w:id="90"/>
      <w:bookmarkEnd w:id="91"/>
    </w:p>
    <w:tbl>
      <w:tblPr>
        <w:tblStyle w:val="18"/>
        <w:tblW w:w="21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1641"/>
        <w:gridCol w:w="3710"/>
        <w:gridCol w:w="37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2055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64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371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建设性质</w:t>
            </w:r>
          </w:p>
        </w:tc>
        <w:tc>
          <w:tcPr>
            <w:tcW w:w="3744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一、交通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醴陵-娄底高速公路扩容工程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G106醴陵城区绕城公路（王仙-龙源冲）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莲花冲（湘赣界）-株洲公路改建工程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清水江至茶陵公路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早禾塘-韶山公路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老关至铁河口公路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渌江大西滩至渌口段航道疏浚工程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渌水航道建设工程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旗滨大道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招呼站建设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二、农村公路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11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危桥改造项目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12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生命防护工程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13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大中修项目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14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应急抢险（水毁抢险、路桥养护、行道树、砍伐更新、警示标志）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农村公路路基拓宽改造工程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改扩建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三、水利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16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渌江及支流治理工程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17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中小河流治理工程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二、民生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18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精准扶贫易地搬迁安置项目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19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东富镇北冲村安置点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20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东富污水处理厂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21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青云中学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（闻伯中学）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22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枧头洲中学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23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东富镇垃圾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中转站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24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东富镇村级活动中心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全镇各村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25</w:t>
            </w:r>
          </w:p>
        </w:tc>
        <w:tc>
          <w:tcPr>
            <w:tcW w:w="1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养老服务配套工程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三、其他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55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26</w:t>
            </w:r>
          </w:p>
        </w:tc>
        <w:tc>
          <w:tcPr>
            <w:tcW w:w="11641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东富工业园</w:t>
            </w:r>
          </w:p>
        </w:tc>
        <w:tc>
          <w:tcPr>
            <w:tcW w:w="3710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744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bookmarkStart w:id="92" w:name="_Toc476734975"/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93" w:name="_Toc485830044"/>
      <w:r>
        <w:rPr>
          <w:rFonts w:ascii="Times New Roman" w:hAnsi="Times New Roman" w:eastAsia="黑体" w:cs="Times New Roman"/>
          <w:sz w:val="24"/>
          <w:szCs w:val="24"/>
        </w:rPr>
        <w:t>附表11  东富镇土地用途分区面积统计表</w:t>
      </w:r>
      <w:bookmarkEnd w:id="92"/>
      <w:bookmarkEnd w:id="93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115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3"/>
        <w:gridCol w:w="2643"/>
        <w:gridCol w:w="2644"/>
        <w:gridCol w:w="2644"/>
        <w:gridCol w:w="2644"/>
        <w:gridCol w:w="2644"/>
        <w:gridCol w:w="2644"/>
        <w:gridCol w:w="2644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基本农田保护区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一般农地区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城镇建设用地区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村镇建设用地区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独立工矿用地区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林业用地区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楚同桥村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229.32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58.57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6.07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60.18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8.01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191.91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东富村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314.78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53.92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6.76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66.17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0.68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275.27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东兴居委会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294.88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50.41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36.73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71.39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6.05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269.81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横新村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252.06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64.31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0.20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70.48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7.25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187.98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枧头洲村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132.43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34.86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53.82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0.79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76.16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莲旗村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124.23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70.96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61.86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54.31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12.07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231.88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莲石塘村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197.48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36.86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71.62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5.08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199.84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龙源村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177.24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45.83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290.77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55.87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7.92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241.12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森冲村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240.40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71.49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68.27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21.10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379.05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西林村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287.55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78.92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10.84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83.73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0.21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378.79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址泉村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341.32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59.52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0.05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67.76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3.20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319.09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东富镇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2591.68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625.64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413.27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723.61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72.37 </w:t>
            </w:r>
          </w:p>
        </w:tc>
        <w:tc>
          <w:tcPr>
            <w:tcW w:w="26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2750.90 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 w:val="28"/>
          <w:szCs w:val="24"/>
        </w:rPr>
        <w:sectPr>
          <w:type w:val="continuous"/>
          <w:pgSz w:w="23814" w:h="16839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94" w:name="_Toc476734976"/>
      <w:bookmarkStart w:id="95" w:name="_Toc469235341"/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96" w:name="_Toc485830045"/>
      <w:r>
        <w:rPr>
          <w:rFonts w:ascii="Times New Roman" w:hAnsi="Times New Roman" w:eastAsia="黑体" w:cs="Times New Roman"/>
          <w:sz w:val="24"/>
          <w:szCs w:val="24"/>
        </w:rPr>
        <w:t>附表12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东富镇2006-2020年地类结构平衡表</w:t>
      </w:r>
      <w:bookmarkEnd w:id="94"/>
      <w:bookmarkEnd w:id="95"/>
      <w:bookmarkEnd w:id="96"/>
    </w:p>
    <w:p>
      <w:pPr>
        <w:widowControl/>
        <w:spacing w:line="80" w:lineRule="atLeast"/>
        <w:ind w:firstLine="360" w:firstLineChars="200"/>
        <w:jc w:val="right"/>
        <w:rPr>
          <w:rFonts w:ascii="Times New Roman" w:hAnsi="Times New Roman" w:eastAsia="仿宋_GB2312" w:cs="Times New Roman"/>
          <w:sz w:val="18"/>
          <w:szCs w:val="21"/>
        </w:rPr>
      </w:pPr>
      <w:r>
        <w:rPr>
          <w:rFonts w:ascii="Times New Roman" w:hAnsi="Times New Roman" w:eastAsia="仿宋_GB2312" w:cs="Times New Roman"/>
          <w:sz w:val="18"/>
          <w:szCs w:val="21"/>
        </w:rPr>
        <w:t>单位:公顷</w:t>
      </w:r>
    </w:p>
    <w:tbl>
      <w:tblPr>
        <w:tblStyle w:val="18"/>
        <w:tblW w:w="21456" w:type="dxa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66"/>
        <w:gridCol w:w="1042"/>
        <w:gridCol w:w="1042"/>
        <w:gridCol w:w="969"/>
        <w:gridCol w:w="969"/>
        <w:gridCol w:w="1042"/>
        <w:gridCol w:w="970"/>
        <w:gridCol w:w="899"/>
        <w:gridCol w:w="970"/>
        <w:gridCol w:w="970"/>
        <w:gridCol w:w="970"/>
        <w:gridCol w:w="970"/>
        <w:gridCol w:w="970"/>
        <w:gridCol w:w="970"/>
        <w:gridCol w:w="979"/>
        <w:gridCol w:w="970"/>
        <w:gridCol w:w="970"/>
        <w:gridCol w:w="781"/>
        <w:gridCol w:w="970"/>
        <w:gridCol w:w="970"/>
        <w:gridCol w:w="1043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地类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规划基期现状面积</w:t>
            </w:r>
          </w:p>
        </w:tc>
        <w:tc>
          <w:tcPr>
            <w:tcW w:w="15411" w:type="dxa"/>
            <w:gridSpan w:val="1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规划期间调整至其他地类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期间减少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净增减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规划目标年面积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891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679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97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97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土地总面积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8037.46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6594.50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2632.18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130.78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2758.43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1073.10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1331.54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407.60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708.26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27.76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43.13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133.68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11.11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111.42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51.54 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59.88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8037.46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6877.12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156.84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156.02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0.82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463.23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329.88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46.59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0.50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27.46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58.80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463.23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-282.62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6594.50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2576.35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0.79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0.79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130.45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89.45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17.04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3.20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20.76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131.24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55.83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2632.18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42.79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0.18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0.18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1.26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0.09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0.54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0.63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1.44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87.99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130.78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3096.57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84.30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84.30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273.13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216.95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24.99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0.50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1.11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29.58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357.43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-338.14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2758.43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1161.41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71.57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71.54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58.39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23.48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4.47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22.61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7.83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129.96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-88.31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1073.10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1003.26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158.39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16.88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89.43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10.43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41.65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45.45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23.45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14.69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7.31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158.39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328.28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1331.54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35.50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372.10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407.60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810.05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112.72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12.86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89.43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10.43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35.86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21.40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7.86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6.60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148.58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-101.79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708.26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38.39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3.32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3.32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7.81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1.85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5.51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0.45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11.13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-10.63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27.76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43.13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43.13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107.30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42.35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0.70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41.65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0.87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0.67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43.22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26.38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133.68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12.02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0.91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0.65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0.26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0.91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-0.91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11.11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157.08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22.22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14.18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8.04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23.43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18.77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0.98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3.49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45.66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-45.66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111.42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51.76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0.22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0.22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-0.22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51.54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105.32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22.22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14.18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8.04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23.21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18.77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0.98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3.27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45.44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-45.44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59.88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期间增加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180.61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187.08 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89.43 </w:t>
            </w:r>
          </w:p>
        </w:tc>
        <w:tc>
          <w:tcPr>
            <w:tcW w:w="10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19.29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41.65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486.67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372.10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46.79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0.50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43.13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69.60 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</w:tr>
    </w:tbl>
    <w:p>
      <w:pPr>
        <w:widowControl/>
        <w:spacing w:line="240" w:lineRule="exact"/>
        <w:jc w:val="center"/>
        <w:rPr>
          <w:rFonts w:ascii="Times New Roman" w:hAnsi="Times New Roman" w:cs="Times New Roman"/>
        </w:rPr>
      </w:pPr>
    </w:p>
    <w:sectPr>
      <w:type w:val="continuous"/>
      <w:pgSz w:w="23814" w:h="16839" w:orient="landscape"/>
      <w:pgMar w:top="1701" w:right="1134" w:bottom="1701" w:left="1440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146500930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I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8"/>
      <w:rPr>
        <w:rFonts w:ascii="Times New Roman" w:hAnsi="Times New Roman" w:cs="Times New Roma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780256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8"/>
      <w:rPr>
        <w:rFonts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CCC"/>
    <w:rsid w:val="00002191"/>
    <w:rsid w:val="00007A9A"/>
    <w:rsid w:val="000139AE"/>
    <w:rsid w:val="00017786"/>
    <w:rsid w:val="00031742"/>
    <w:rsid w:val="00044D4C"/>
    <w:rsid w:val="00047A70"/>
    <w:rsid w:val="0005484F"/>
    <w:rsid w:val="000642BE"/>
    <w:rsid w:val="00066BB8"/>
    <w:rsid w:val="0007133B"/>
    <w:rsid w:val="00090EB5"/>
    <w:rsid w:val="0009706D"/>
    <w:rsid w:val="000A4A00"/>
    <w:rsid w:val="000B2231"/>
    <w:rsid w:val="000B2CCD"/>
    <w:rsid w:val="000B66F3"/>
    <w:rsid w:val="000C0BE5"/>
    <w:rsid w:val="000C7D00"/>
    <w:rsid w:val="000D4193"/>
    <w:rsid w:val="000E2127"/>
    <w:rsid w:val="000E538D"/>
    <w:rsid w:val="000E65B1"/>
    <w:rsid w:val="000E778D"/>
    <w:rsid w:val="000F1AFB"/>
    <w:rsid w:val="000F3A70"/>
    <w:rsid w:val="000F527B"/>
    <w:rsid w:val="00106E33"/>
    <w:rsid w:val="00111923"/>
    <w:rsid w:val="00113197"/>
    <w:rsid w:val="00135C9E"/>
    <w:rsid w:val="00157249"/>
    <w:rsid w:val="00176BDC"/>
    <w:rsid w:val="00177762"/>
    <w:rsid w:val="00190F0F"/>
    <w:rsid w:val="00196A37"/>
    <w:rsid w:val="001B360B"/>
    <w:rsid w:val="001B77A5"/>
    <w:rsid w:val="001D1A7D"/>
    <w:rsid w:val="001D26B6"/>
    <w:rsid w:val="001D4B85"/>
    <w:rsid w:val="001D616A"/>
    <w:rsid w:val="001E0D7B"/>
    <w:rsid w:val="001E51DF"/>
    <w:rsid w:val="001F0BE7"/>
    <w:rsid w:val="001F5A05"/>
    <w:rsid w:val="001F5E55"/>
    <w:rsid w:val="00204F51"/>
    <w:rsid w:val="00205DBF"/>
    <w:rsid w:val="00226878"/>
    <w:rsid w:val="00227056"/>
    <w:rsid w:val="00234573"/>
    <w:rsid w:val="00235494"/>
    <w:rsid w:val="002365E7"/>
    <w:rsid w:val="002432F7"/>
    <w:rsid w:val="00243B80"/>
    <w:rsid w:val="00244CDF"/>
    <w:rsid w:val="00251029"/>
    <w:rsid w:val="00261809"/>
    <w:rsid w:val="00261BDF"/>
    <w:rsid w:val="00263FA9"/>
    <w:rsid w:val="00287360"/>
    <w:rsid w:val="0028770F"/>
    <w:rsid w:val="0029067F"/>
    <w:rsid w:val="00291B39"/>
    <w:rsid w:val="00294145"/>
    <w:rsid w:val="002B44DA"/>
    <w:rsid w:val="002C1E9C"/>
    <w:rsid w:val="002D0C4A"/>
    <w:rsid w:val="002D55EB"/>
    <w:rsid w:val="002E23C8"/>
    <w:rsid w:val="002E2975"/>
    <w:rsid w:val="002E764C"/>
    <w:rsid w:val="002F018C"/>
    <w:rsid w:val="002F225E"/>
    <w:rsid w:val="002F53CD"/>
    <w:rsid w:val="002F616A"/>
    <w:rsid w:val="002F6174"/>
    <w:rsid w:val="00306B13"/>
    <w:rsid w:val="00307A6E"/>
    <w:rsid w:val="00323445"/>
    <w:rsid w:val="00331374"/>
    <w:rsid w:val="00335BA9"/>
    <w:rsid w:val="00353BC5"/>
    <w:rsid w:val="00361A36"/>
    <w:rsid w:val="003700FF"/>
    <w:rsid w:val="003717F1"/>
    <w:rsid w:val="0037687F"/>
    <w:rsid w:val="0039539C"/>
    <w:rsid w:val="0039636D"/>
    <w:rsid w:val="003A7437"/>
    <w:rsid w:val="003B6F9B"/>
    <w:rsid w:val="003D4E4F"/>
    <w:rsid w:val="003F58CC"/>
    <w:rsid w:val="00413139"/>
    <w:rsid w:val="00414AB2"/>
    <w:rsid w:val="004212BD"/>
    <w:rsid w:val="0042182E"/>
    <w:rsid w:val="00427482"/>
    <w:rsid w:val="004301EE"/>
    <w:rsid w:val="00431B94"/>
    <w:rsid w:val="00431D28"/>
    <w:rsid w:val="00447665"/>
    <w:rsid w:val="0045364B"/>
    <w:rsid w:val="0045484B"/>
    <w:rsid w:val="00457B73"/>
    <w:rsid w:val="0046631A"/>
    <w:rsid w:val="00485F74"/>
    <w:rsid w:val="00497289"/>
    <w:rsid w:val="00497FFD"/>
    <w:rsid w:val="004D421F"/>
    <w:rsid w:val="004D56EB"/>
    <w:rsid w:val="004D6F6A"/>
    <w:rsid w:val="004D7719"/>
    <w:rsid w:val="004E0127"/>
    <w:rsid w:val="004E5478"/>
    <w:rsid w:val="004E6986"/>
    <w:rsid w:val="004E750B"/>
    <w:rsid w:val="004F215A"/>
    <w:rsid w:val="00502A4F"/>
    <w:rsid w:val="00514B54"/>
    <w:rsid w:val="00515449"/>
    <w:rsid w:val="00530243"/>
    <w:rsid w:val="00531839"/>
    <w:rsid w:val="00533601"/>
    <w:rsid w:val="005406E6"/>
    <w:rsid w:val="005531F8"/>
    <w:rsid w:val="00563E31"/>
    <w:rsid w:val="00571B57"/>
    <w:rsid w:val="00583FE8"/>
    <w:rsid w:val="00584E67"/>
    <w:rsid w:val="00591466"/>
    <w:rsid w:val="005948A2"/>
    <w:rsid w:val="005B48AD"/>
    <w:rsid w:val="005D4B50"/>
    <w:rsid w:val="005D5714"/>
    <w:rsid w:val="005D5F6A"/>
    <w:rsid w:val="005E0424"/>
    <w:rsid w:val="005E33E0"/>
    <w:rsid w:val="005F17E9"/>
    <w:rsid w:val="005F3D25"/>
    <w:rsid w:val="005F5C48"/>
    <w:rsid w:val="00624967"/>
    <w:rsid w:val="00627537"/>
    <w:rsid w:val="00634FAE"/>
    <w:rsid w:val="00647ADA"/>
    <w:rsid w:val="00665B46"/>
    <w:rsid w:val="00681190"/>
    <w:rsid w:val="00694A1E"/>
    <w:rsid w:val="00695D0E"/>
    <w:rsid w:val="006979C4"/>
    <w:rsid w:val="006A648B"/>
    <w:rsid w:val="006A7A05"/>
    <w:rsid w:val="006B569E"/>
    <w:rsid w:val="006B6CD1"/>
    <w:rsid w:val="006C063E"/>
    <w:rsid w:val="006C2E8A"/>
    <w:rsid w:val="006E7807"/>
    <w:rsid w:val="006F01DF"/>
    <w:rsid w:val="006F1D5D"/>
    <w:rsid w:val="00711027"/>
    <w:rsid w:val="00711CA4"/>
    <w:rsid w:val="007365E4"/>
    <w:rsid w:val="0075322A"/>
    <w:rsid w:val="00754C9C"/>
    <w:rsid w:val="00762E44"/>
    <w:rsid w:val="0076590B"/>
    <w:rsid w:val="00767B58"/>
    <w:rsid w:val="0078006B"/>
    <w:rsid w:val="007807B0"/>
    <w:rsid w:val="0078428C"/>
    <w:rsid w:val="007857B4"/>
    <w:rsid w:val="007904A8"/>
    <w:rsid w:val="0079319C"/>
    <w:rsid w:val="00793FD6"/>
    <w:rsid w:val="007952E2"/>
    <w:rsid w:val="00796322"/>
    <w:rsid w:val="007B1076"/>
    <w:rsid w:val="007C5993"/>
    <w:rsid w:val="007D3039"/>
    <w:rsid w:val="007D5E7D"/>
    <w:rsid w:val="007F74CE"/>
    <w:rsid w:val="00800904"/>
    <w:rsid w:val="00807443"/>
    <w:rsid w:val="008223EC"/>
    <w:rsid w:val="00822CC2"/>
    <w:rsid w:val="0082631C"/>
    <w:rsid w:val="008270C0"/>
    <w:rsid w:val="008329BB"/>
    <w:rsid w:val="00833011"/>
    <w:rsid w:val="00834080"/>
    <w:rsid w:val="00835516"/>
    <w:rsid w:val="00843F4F"/>
    <w:rsid w:val="00844331"/>
    <w:rsid w:val="0084492D"/>
    <w:rsid w:val="00850984"/>
    <w:rsid w:val="00865D22"/>
    <w:rsid w:val="00876982"/>
    <w:rsid w:val="0088108A"/>
    <w:rsid w:val="0088639B"/>
    <w:rsid w:val="00890CB1"/>
    <w:rsid w:val="008948CD"/>
    <w:rsid w:val="008A5C47"/>
    <w:rsid w:val="008A6A96"/>
    <w:rsid w:val="008B71A1"/>
    <w:rsid w:val="008C1099"/>
    <w:rsid w:val="008C5C79"/>
    <w:rsid w:val="008C5C84"/>
    <w:rsid w:val="008E4275"/>
    <w:rsid w:val="008E650C"/>
    <w:rsid w:val="00917541"/>
    <w:rsid w:val="0093500E"/>
    <w:rsid w:val="00941706"/>
    <w:rsid w:val="00981A3E"/>
    <w:rsid w:val="009834DE"/>
    <w:rsid w:val="00984283"/>
    <w:rsid w:val="00986780"/>
    <w:rsid w:val="009901B5"/>
    <w:rsid w:val="00994573"/>
    <w:rsid w:val="00997B6F"/>
    <w:rsid w:val="009A3DB5"/>
    <w:rsid w:val="009A4550"/>
    <w:rsid w:val="009B6B1A"/>
    <w:rsid w:val="009C0AB9"/>
    <w:rsid w:val="009C7C0E"/>
    <w:rsid w:val="009D2632"/>
    <w:rsid w:val="009F1057"/>
    <w:rsid w:val="009F588A"/>
    <w:rsid w:val="009F76D6"/>
    <w:rsid w:val="00A154F8"/>
    <w:rsid w:val="00A30CCF"/>
    <w:rsid w:val="00A46CED"/>
    <w:rsid w:val="00A52704"/>
    <w:rsid w:val="00A56A96"/>
    <w:rsid w:val="00A647E5"/>
    <w:rsid w:val="00A65D82"/>
    <w:rsid w:val="00A7599D"/>
    <w:rsid w:val="00A85918"/>
    <w:rsid w:val="00AA1091"/>
    <w:rsid w:val="00AA7AC7"/>
    <w:rsid w:val="00AB1A1A"/>
    <w:rsid w:val="00AB4459"/>
    <w:rsid w:val="00AC50CF"/>
    <w:rsid w:val="00AD5939"/>
    <w:rsid w:val="00AE46A7"/>
    <w:rsid w:val="00AE4AFA"/>
    <w:rsid w:val="00AE4D8A"/>
    <w:rsid w:val="00AE50C8"/>
    <w:rsid w:val="00AF2CDB"/>
    <w:rsid w:val="00AF38FB"/>
    <w:rsid w:val="00AF7E39"/>
    <w:rsid w:val="00B0070A"/>
    <w:rsid w:val="00B00823"/>
    <w:rsid w:val="00B038FF"/>
    <w:rsid w:val="00B03BAC"/>
    <w:rsid w:val="00B05982"/>
    <w:rsid w:val="00B21B81"/>
    <w:rsid w:val="00B23869"/>
    <w:rsid w:val="00B25D2D"/>
    <w:rsid w:val="00B278B2"/>
    <w:rsid w:val="00B27C9D"/>
    <w:rsid w:val="00B30D1C"/>
    <w:rsid w:val="00B363FD"/>
    <w:rsid w:val="00B375F6"/>
    <w:rsid w:val="00B475FC"/>
    <w:rsid w:val="00B61202"/>
    <w:rsid w:val="00B72120"/>
    <w:rsid w:val="00B75091"/>
    <w:rsid w:val="00B76575"/>
    <w:rsid w:val="00B7717B"/>
    <w:rsid w:val="00BA089F"/>
    <w:rsid w:val="00BA5995"/>
    <w:rsid w:val="00BB77FA"/>
    <w:rsid w:val="00BC3A96"/>
    <w:rsid w:val="00BC619F"/>
    <w:rsid w:val="00BD2662"/>
    <w:rsid w:val="00C071CF"/>
    <w:rsid w:val="00C11C26"/>
    <w:rsid w:val="00C1738D"/>
    <w:rsid w:val="00C33B57"/>
    <w:rsid w:val="00C360DA"/>
    <w:rsid w:val="00C43D74"/>
    <w:rsid w:val="00C44E65"/>
    <w:rsid w:val="00C47893"/>
    <w:rsid w:val="00C534A9"/>
    <w:rsid w:val="00C561DC"/>
    <w:rsid w:val="00C63C8E"/>
    <w:rsid w:val="00C744D2"/>
    <w:rsid w:val="00C7492D"/>
    <w:rsid w:val="00C944A5"/>
    <w:rsid w:val="00C94F8F"/>
    <w:rsid w:val="00C9581F"/>
    <w:rsid w:val="00CA26BA"/>
    <w:rsid w:val="00CA6CE2"/>
    <w:rsid w:val="00CB0FB0"/>
    <w:rsid w:val="00CB3D40"/>
    <w:rsid w:val="00CB796B"/>
    <w:rsid w:val="00CC0586"/>
    <w:rsid w:val="00CC76F8"/>
    <w:rsid w:val="00CD19B7"/>
    <w:rsid w:val="00CE0462"/>
    <w:rsid w:val="00CE4429"/>
    <w:rsid w:val="00CE56F6"/>
    <w:rsid w:val="00CE6E8C"/>
    <w:rsid w:val="00CF224C"/>
    <w:rsid w:val="00CF303B"/>
    <w:rsid w:val="00CF7FE6"/>
    <w:rsid w:val="00D02667"/>
    <w:rsid w:val="00D02703"/>
    <w:rsid w:val="00D04505"/>
    <w:rsid w:val="00D12925"/>
    <w:rsid w:val="00D16A50"/>
    <w:rsid w:val="00D16CAB"/>
    <w:rsid w:val="00D32AC5"/>
    <w:rsid w:val="00D33779"/>
    <w:rsid w:val="00D33EF1"/>
    <w:rsid w:val="00D4157F"/>
    <w:rsid w:val="00D41C80"/>
    <w:rsid w:val="00D4619C"/>
    <w:rsid w:val="00D52570"/>
    <w:rsid w:val="00D5531D"/>
    <w:rsid w:val="00D65C02"/>
    <w:rsid w:val="00D7116A"/>
    <w:rsid w:val="00D71A0E"/>
    <w:rsid w:val="00D95273"/>
    <w:rsid w:val="00D95EB1"/>
    <w:rsid w:val="00DA0C94"/>
    <w:rsid w:val="00DA34BB"/>
    <w:rsid w:val="00DB4007"/>
    <w:rsid w:val="00DB4113"/>
    <w:rsid w:val="00DC19CF"/>
    <w:rsid w:val="00DC37FC"/>
    <w:rsid w:val="00DD363F"/>
    <w:rsid w:val="00DD4C1D"/>
    <w:rsid w:val="00DE159D"/>
    <w:rsid w:val="00DF27BE"/>
    <w:rsid w:val="00DF7D81"/>
    <w:rsid w:val="00E01C88"/>
    <w:rsid w:val="00E11732"/>
    <w:rsid w:val="00E226F5"/>
    <w:rsid w:val="00E2305A"/>
    <w:rsid w:val="00E464D0"/>
    <w:rsid w:val="00E53A07"/>
    <w:rsid w:val="00E60AB5"/>
    <w:rsid w:val="00E83E0F"/>
    <w:rsid w:val="00E90ADB"/>
    <w:rsid w:val="00E951A9"/>
    <w:rsid w:val="00E9628D"/>
    <w:rsid w:val="00EA44F1"/>
    <w:rsid w:val="00EA7B9C"/>
    <w:rsid w:val="00EB49A6"/>
    <w:rsid w:val="00EC6365"/>
    <w:rsid w:val="00EC7344"/>
    <w:rsid w:val="00EE4B2C"/>
    <w:rsid w:val="00F1604A"/>
    <w:rsid w:val="00F34BDE"/>
    <w:rsid w:val="00F36BAA"/>
    <w:rsid w:val="00F41CCC"/>
    <w:rsid w:val="00F43E9F"/>
    <w:rsid w:val="00F70CDC"/>
    <w:rsid w:val="00F713C5"/>
    <w:rsid w:val="00F72532"/>
    <w:rsid w:val="00F725DC"/>
    <w:rsid w:val="00F7295A"/>
    <w:rsid w:val="00F75BB7"/>
    <w:rsid w:val="00F845F1"/>
    <w:rsid w:val="00F86C9B"/>
    <w:rsid w:val="00F97353"/>
    <w:rsid w:val="00F97608"/>
    <w:rsid w:val="00F97C50"/>
    <w:rsid w:val="00FA2847"/>
    <w:rsid w:val="00FA32FD"/>
    <w:rsid w:val="00FB00C5"/>
    <w:rsid w:val="00FB5E22"/>
    <w:rsid w:val="00FC29C9"/>
    <w:rsid w:val="00FC68F2"/>
    <w:rsid w:val="00FD51BA"/>
    <w:rsid w:val="00FF088C"/>
    <w:rsid w:val="0EE4001F"/>
    <w:rsid w:val="4F3E73C4"/>
    <w:rsid w:val="762044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2"/>
    <w:semiHidden/>
    <w:unhideWhenUsed/>
    <w:uiPriority w:val="99"/>
    <w:rPr>
      <w:rFonts w:ascii="宋体" w:eastAsia="宋体"/>
      <w:sz w:val="18"/>
      <w:szCs w:val="18"/>
    </w:rPr>
  </w:style>
  <w:style w:type="paragraph" w:styleId="7">
    <w:name w:val="Balloon Text"/>
    <w:basedOn w:val="1"/>
    <w:link w:val="80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uiPriority w:val="39"/>
    <w:pPr>
      <w:tabs>
        <w:tab w:val="right" w:leader="dot" w:pos="10206"/>
      </w:tabs>
      <w:spacing w:line="360" w:lineRule="auto"/>
      <w:outlineLvl w:val="0"/>
    </w:pPr>
    <w:rPr>
      <w:rFonts w:ascii="Times New Roman" w:hAnsi="Times New Roman" w:eastAsia="黑体"/>
      <w:sz w:val="28"/>
    </w:rPr>
  </w:style>
  <w:style w:type="paragraph" w:styleId="11">
    <w:name w:val="footnote text"/>
    <w:basedOn w:val="1"/>
    <w:link w:val="62"/>
    <w:uiPriority w:val="0"/>
    <w:pPr>
      <w:snapToGrid w:val="0"/>
      <w:jc w:val="left"/>
    </w:pPr>
    <w:rPr>
      <w:rFonts w:ascii="Times New Roman" w:hAnsi="Times New Roman" w:eastAsia="Times New Roman" w:cs="Times New Roman"/>
      <w:sz w:val="18"/>
      <w:szCs w:val="18"/>
    </w:rPr>
  </w:style>
  <w:style w:type="paragraph" w:styleId="12">
    <w:name w:val="toc 2"/>
    <w:basedOn w:val="1"/>
    <w:next w:val="1"/>
    <w:link w:val="63"/>
    <w:unhideWhenUsed/>
    <w:uiPriority w:val="39"/>
    <w:pPr>
      <w:spacing w:line="360" w:lineRule="auto"/>
      <w:ind w:left="200" w:leftChars="200"/>
      <w:jc w:val="left"/>
      <w:outlineLvl w:val="1"/>
    </w:pPr>
    <w:rPr>
      <w:rFonts w:ascii="Times New Roman" w:hAnsi="Times New Roman" w:eastAsia="黑体" w:cs="Times New Roman"/>
      <w:kern w:val="0"/>
      <w:sz w:val="24"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uiPriority w:val="0"/>
  </w:style>
  <w:style w:type="character" w:styleId="16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styleId="17">
    <w:name w:val="footnote reference"/>
    <w:basedOn w:val="13"/>
    <w:uiPriority w:val="0"/>
    <w:rPr>
      <w:vertAlign w:val="superscript"/>
    </w:rPr>
  </w:style>
  <w:style w:type="table" w:styleId="19">
    <w:name w:val="Table Grid"/>
    <w:basedOn w:val="18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3"/>
    <w:link w:val="9"/>
    <w:uiPriority w:val="99"/>
    <w:rPr>
      <w:sz w:val="18"/>
      <w:szCs w:val="18"/>
    </w:rPr>
  </w:style>
  <w:style w:type="character" w:customStyle="1" w:styleId="21">
    <w:name w:val="页脚 Char"/>
    <w:basedOn w:val="13"/>
    <w:link w:val="8"/>
    <w:uiPriority w:val="99"/>
    <w:rPr>
      <w:sz w:val="18"/>
      <w:szCs w:val="18"/>
    </w:rPr>
  </w:style>
  <w:style w:type="character" w:customStyle="1" w:styleId="22">
    <w:name w:val="文档结构图 Char"/>
    <w:basedOn w:val="13"/>
    <w:link w:val="6"/>
    <w:uiPriority w:val="0"/>
    <w:rPr>
      <w:rFonts w:ascii="宋体" w:eastAsia="宋体"/>
      <w:sz w:val="18"/>
      <w:szCs w:val="18"/>
    </w:rPr>
  </w:style>
  <w:style w:type="character" w:customStyle="1" w:styleId="23">
    <w:name w:val="标题 3 Char"/>
    <w:basedOn w:val="13"/>
    <w:link w:val="4"/>
    <w:uiPriority w:val="0"/>
    <w:rPr>
      <w:b/>
      <w:bCs/>
      <w:sz w:val="32"/>
      <w:szCs w:val="32"/>
    </w:rPr>
  </w:style>
  <w:style w:type="character" w:customStyle="1" w:styleId="24">
    <w:name w:val="标题 1 Char"/>
    <w:basedOn w:val="13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1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4 Char"/>
    <w:basedOn w:val="13"/>
    <w:link w:val="5"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27">
    <w:name w:val="标题 2 Char1"/>
    <w:link w:val="3"/>
    <w:uiPriority w:val="0"/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customStyle="1" w:styleId="28">
    <w:name w:val="Char Char Char Char"/>
    <w:basedOn w:val="6"/>
    <w:uiPriority w:val="0"/>
  </w:style>
  <w:style w:type="character" w:customStyle="1" w:styleId="29">
    <w:name w:val="文档结构图 Char1"/>
    <w:basedOn w:val="13"/>
    <w:semiHidden/>
    <w:uiPriority w:val="99"/>
    <w:rPr>
      <w:rFonts w:eastAsia="Times New Roman"/>
      <w:kern w:val="2"/>
      <w:sz w:val="28"/>
      <w:szCs w:val="24"/>
      <w:shd w:val="clear" w:color="auto" w:fill="000080"/>
    </w:rPr>
  </w:style>
  <w:style w:type="paragraph" w:customStyle="1" w:styleId="30">
    <w:name w:val="正文专用"/>
    <w:basedOn w:val="1"/>
    <w:qFormat/>
    <w:uiPriority w:val="0"/>
    <w:pPr>
      <w:snapToGrid w:val="0"/>
      <w:spacing w:line="360" w:lineRule="auto"/>
      <w:ind w:firstLine="560" w:firstLineChars="200"/>
      <w:jc w:val="left"/>
    </w:pPr>
    <w:rPr>
      <w:rFonts w:ascii="Times New Roman" w:hAnsi="Times New Roman" w:eastAsia="仿宋_GB2312" w:cs="Times New Roman"/>
      <w:sz w:val="28"/>
      <w:szCs w:val="21"/>
    </w:rPr>
  </w:style>
  <w:style w:type="character" w:customStyle="1" w:styleId="31">
    <w:name w:val="纯文本 Char"/>
    <w:basedOn w:val="13"/>
    <w:link w:val="32"/>
    <w:uiPriority w:val="0"/>
    <w:rPr>
      <w:rFonts w:ascii="宋体" w:hAnsi="Courier New"/>
      <w:lang w:val="en-US" w:eastAsia="zh-CN"/>
    </w:rPr>
  </w:style>
  <w:style w:type="paragraph" w:customStyle="1" w:styleId="32">
    <w:name w:val="纯文本1"/>
    <w:basedOn w:val="1"/>
    <w:link w:val="31"/>
    <w:uiPriority w:val="0"/>
    <w:rPr>
      <w:rFonts w:ascii="宋体" w:hAnsi="Courier New"/>
    </w:rPr>
  </w:style>
  <w:style w:type="character" w:customStyle="1" w:styleId="33">
    <w:name w:val="txt1"/>
    <w:uiPriority w:val="0"/>
    <w:rPr>
      <w:color w:val="000000"/>
      <w:sz w:val="22"/>
      <w:szCs w:val="22"/>
    </w:rPr>
  </w:style>
  <w:style w:type="character" w:customStyle="1" w:styleId="34">
    <w:name w:val="正文文本缩进 Char"/>
    <w:basedOn w:val="13"/>
    <w:link w:val="35"/>
    <w:uiPriority w:val="0"/>
    <w:rPr>
      <w:rFonts w:eastAsia="仿宋"/>
      <w:sz w:val="28"/>
      <w:szCs w:val="24"/>
    </w:rPr>
  </w:style>
  <w:style w:type="paragraph" w:customStyle="1" w:styleId="35">
    <w:name w:val="正文文本缩进1"/>
    <w:basedOn w:val="1"/>
    <w:link w:val="34"/>
    <w:uiPriority w:val="0"/>
    <w:pPr>
      <w:ind w:firstLine="540" w:firstLineChars="257"/>
    </w:pPr>
    <w:rPr>
      <w:rFonts w:eastAsia="仿宋"/>
      <w:sz w:val="28"/>
      <w:szCs w:val="24"/>
    </w:rPr>
  </w:style>
  <w:style w:type="character" w:customStyle="1" w:styleId="36">
    <w:name w:val="正文文本缩进 3 Char"/>
    <w:basedOn w:val="13"/>
    <w:link w:val="37"/>
    <w:uiPriority w:val="0"/>
    <w:rPr>
      <w:rFonts w:eastAsia="仿宋"/>
      <w:color w:val="000000"/>
      <w:sz w:val="24"/>
      <w:szCs w:val="24"/>
    </w:rPr>
  </w:style>
  <w:style w:type="paragraph" w:customStyle="1" w:styleId="37">
    <w:name w:val="正文文本缩进 31"/>
    <w:basedOn w:val="1"/>
    <w:link w:val="36"/>
    <w:uiPriority w:val="0"/>
    <w:pPr>
      <w:spacing w:beforeLines="50" w:afterLines="50" w:line="400" w:lineRule="exact"/>
      <w:ind w:firstLine="480" w:firstLineChars="200"/>
    </w:pPr>
    <w:rPr>
      <w:rFonts w:eastAsia="仿宋"/>
      <w:color w:val="000000"/>
      <w:sz w:val="24"/>
      <w:szCs w:val="24"/>
    </w:rPr>
  </w:style>
  <w:style w:type="character" w:customStyle="1" w:styleId="38">
    <w:name w:val="普通文字 Char Char Char Char Char Char Char Char"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9">
    <w:name w:val="highlight1"/>
    <w:uiPriority w:val="0"/>
    <w:rPr>
      <w:sz w:val="21"/>
      <w:szCs w:val="21"/>
    </w:rPr>
  </w:style>
  <w:style w:type="character" w:customStyle="1" w:styleId="40">
    <w:name w:val="正文文本缩进 2 Char"/>
    <w:basedOn w:val="13"/>
    <w:link w:val="41"/>
    <w:uiPriority w:val="0"/>
    <w:rPr>
      <w:rFonts w:eastAsia="仿宋"/>
      <w:sz w:val="28"/>
      <w:szCs w:val="24"/>
    </w:rPr>
  </w:style>
  <w:style w:type="paragraph" w:customStyle="1" w:styleId="41">
    <w:name w:val="正文文本缩进 21"/>
    <w:basedOn w:val="1"/>
    <w:link w:val="40"/>
    <w:uiPriority w:val="0"/>
    <w:pPr>
      <w:spacing w:after="120" w:line="480" w:lineRule="auto"/>
      <w:ind w:left="420"/>
    </w:pPr>
    <w:rPr>
      <w:rFonts w:eastAsia="仿宋"/>
      <w:sz w:val="28"/>
      <w:szCs w:val="24"/>
    </w:rPr>
  </w:style>
  <w:style w:type="character" w:customStyle="1" w:styleId="42">
    <w:name w:val="正文文本 Char"/>
    <w:basedOn w:val="13"/>
    <w:link w:val="43"/>
    <w:uiPriority w:val="0"/>
    <w:rPr>
      <w:rFonts w:eastAsia="仿宋"/>
      <w:sz w:val="28"/>
      <w:szCs w:val="24"/>
    </w:rPr>
  </w:style>
  <w:style w:type="paragraph" w:customStyle="1" w:styleId="43">
    <w:name w:val="正文文本1"/>
    <w:basedOn w:val="1"/>
    <w:link w:val="42"/>
    <w:uiPriority w:val="0"/>
    <w:pPr>
      <w:spacing w:after="120"/>
    </w:pPr>
    <w:rPr>
      <w:rFonts w:eastAsia="仿宋"/>
      <w:sz w:val="28"/>
      <w:szCs w:val="24"/>
    </w:rPr>
  </w:style>
  <w:style w:type="character" w:customStyle="1" w:styleId="44">
    <w:name w:val="f14b1"/>
    <w:uiPriority w:val="0"/>
    <w:rPr>
      <w:b/>
      <w:bCs/>
      <w:sz w:val="21"/>
      <w:szCs w:val="21"/>
    </w:rPr>
  </w:style>
  <w:style w:type="character" w:customStyle="1" w:styleId="45">
    <w:name w:val="日期 Char"/>
    <w:basedOn w:val="13"/>
    <w:link w:val="46"/>
    <w:uiPriority w:val="0"/>
    <w:rPr>
      <w:rFonts w:eastAsia="仿宋"/>
      <w:sz w:val="28"/>
    </w:rPr>
  </w:style>
  <w:style w:type="paragraph" w:customStyle="1" w:styleId="46">
    <w:name w:val="日期1"/>
    <w:basedOn w:val="1"/>
    <w:next w:val="1"/>
    <w:link w:val="45"/>
    <w:uiPriority w:val="0"/>
    <w:rPr>
      <w:rFonts w:eastAsia="仿宋"/>
      <w:sz w:val="28"/>
    </w:rPr>
  </w:style>
  <w:style w:type="character" w:customStyle="1" w:styleId="47">
    <w:name w:val="批注框文本 Char"/>
    <w:basedOn w:val="13"/>
    <w:link w:val="48"/>
    <w:uiPriority w:val="0"/>
    <w:rPr>
      <w:rFonts w:eastAsia="仿宋"/>
      <w:sz w:val="18"/>
      <w:szCs w:val="18"/>
    </w:rPr>
  </w:style>
  <w:style w:type="paragraph" w:customStyle="1" w:styleId="48">
    <w:name w:val="批注框文本1"/>
    <w:basedOn w:val="1"/>
    <w:link w:val="47"/>
    <w:uiPriority w:val="0"/>
    <w:rPr>
      <w:rFonts w:eastAsia="仿宋"/>
      <w:sz w:val="18"/>
      <w:szCs w:val="18"/>
    </w:rPr>
  </w:style>
  <w:style w:type="character" w:customStyle="1" w:styleId="49">
    <w:name w:val="biaoti1"/>
    <w:uiPriority w:val="0"/>
    <w:rPr>
      <w:b/>
      <w:bCs/>
      <w:sz w:val="49"/>
      <w:szCs w:val="49"/>
    </w:rPr>
  </w:style>
  <w:style w:type="character" w:customStyle="1" w:styleId="50">
    <w:name w:val="批注引用1"/>
    <w:uiPriority w:val="0"/>
    <w:rPr>
      <w:sz w:val="21"/>
      <w:szCs w:val="21"/>
    </w:rPr>
  </w:style>
  <w:style w:type="character" w:customStyle="1" w:styleId="51">
    <w:name w:val="批注文字 Char"/>
    <w:basedOn w:val="13"/>
    <w:link w:val="52"/>
    <w:uiPriority w:val="0"/>
    <w:rPr>
      <w:rFonts w:eastAsia="仿宋"/>
      <w:sz w:val="28"/>
      <w:szCs w:val="24"/>
    </w:rPr>
  </w:style>
  <w:style w:type="paragraph" w:customStyle="1" w:styleId="52">
    <w:name w:val="批注文字1"/>
    <w:basedOn w:val="1"/>
    <w:link w:val="51"/>
    <w:uiPriority w:val="0"/>
    <w:pPr>
      <w:jc w:val="left"/>
    </w:pPr>
    <w:rPr>
      <w:rFonts w:eastAsia="仿宋"/>
      <w:sz w:val="28"/>
      <w:szCs w:val="24"/>
    </w:rPr>
  </w:style>
  <w:style w:type="character" w:customStyle="1" w:styleId="53">
    <w:name w:val="已访问的超链接1"/>
    <w:uiPriority w:val="0"/>
    <w:rPr>
      <w:color w:val="800080"/>
      <w:u w:val="single"/>
    </w:rPr>
  </w:style>
  <w:style w:type="character" w:customStyle="1" w:styleId="54">
    <w:name w:val="脚注文本 Char"/>
    <w:basedOn w:val="13"/>
    <w:link w:val="55"/>
    <w:uiPriority w:val="0"/>
    <w:rPr>
      <w:rFonts w:eastAsia="仿宋"/>
      <w:sz w:val="18"/>
      <w:szCs w:val="18"/>
    </w:rPr>
  </w:style>
  <w:style w:type="paragraph" w:customStyle="1" w:styleId="55">
    <w:name w:val="脚注文本1"/>
    <w:basedOn w:val="1"/>
    <w:link w:val="54"/>
    <w:uiPriority w:val="0"/>
    <w:pPr>
      <w:snapToGrid w:val="0"/>
      <w:jc w:val="left"/>
    </w:pPr>
    <w:rPr>
      <w:rFonts w:eastAsia="仿宋"/>
      <w:sz w:val="18"/>
      <w:szCs w:val="18"/>
    </w:rPr>
  </w:style>
  <w:style w:type="character" w:customStyle="1" w:styleId="56">
    <w:name w:val="脚注引用1"/>
    <w:uiPriority w:val="0"/>
    <w:rPr>
      <w:vertAlign w:val="superscript"/>
    </w:rPr>
  </w:style>
  <w:style w:type="character" w:customStyle="1" w:styleId="57">
    <w:name w:val="批注主题 Char"/>
    <w:basedOn w:val="51"/>
    <w:link w:val="58"/>
    <w:qFormat/>
    <w:uiPriority w:val="0"/>
    <w:rPr>
      <w:rFonts w:eastAsia="仿宋"/>
      <w:b/>
      <w:bCs/>
      <w:sz w:val="28"/>
      <w:szCs w:val="24"/>
    </w:rPr>
  </w:style>
  <w:style w:type="paragraph" w:customStyle="1" w:styleId="58">
    <w:name w:val="批注主题1"/>
    <w:basedOn w:val="52"/>
    <w:next w:val="52"/>
    <w:link w:val="57"/>
    <w:uiPriority w:val="0"/>
    <w:rPr>
      <w:b/>
      <w:bCs/>
    </w:rPr>
  </w:style>
  <w:style w:type="paragraph" w:customStyle="1" w:styleId="59">
    <w:name w:val="文档结构图1"/>
    <w:basedOn w:val="1"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60">
    <w:name w:val="段 Char"/>
    <w:link w:val="61"/>
    <w:uiPriority w:val="0"/>
    <w:rPr>
      <w:rFonts w:ascii="宋体"/>
    </w:rPr>
  </w:style>
  <w:style w:type="paragraph" w:customStyle="1" w:styleId="61">
    <w:name w:val="段"/>
    <w:link w:val="60"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2">
    <w:name w:val="脚注文本 Char1"/>
    <w:basedOn w:val="13"/>
    <w:link w:val="11"/>
    <w:uiPriority w:val="0"/>
    <w:rPr>
      <w:rFonts w:ascii="Times New Roman" w:hAnsi="Times New Roman" w:eastAsia="Times New Roman" w:cs="Times New Roman"/>
      <w:sz w:val="18"/>
      <w:szCs w:val="18"/>
    </w:rPr>
  </w:style>
  <w:style w:type="character" w:customStyle="1" w:styleId="63">
    <w:name w:val="目录 2 Char"/>
    <w:basedOn w:val="13"/>
    <w:link w:val="12"/>
    <w:uiPriority w:val="39"/>
    <w:rPr>
      <w:rFonts w:ascii="Times New Roman" w:hAnsi="Times New Roman" w:eastAsia="黑体" w:cs="Times New Roman"/>
      <w:kern w:val="0"/>
      <w:sz w:val="24"/>
      <w:szCs w:val="32"/>
    </w:rPr>
  </w:style>
  <w:style w:type="paragraph" w:customStyle="1" w:styleId="64">
    <w:name w:val="Char Char Char Char1"/>
    <w:basedOn w:val="6"/>
    <w:uiPriority w:val="0"/>
    <w:pPr>
      <w:widowControl/>
      <w:shd w:val="clear" w:color="auto" w:fill="000080"/>
      <w:jc w:val="left"/>
    </w:pPr>
    <w:rPr>
      <w:rFonts w:ascii="Times New Roman" w:hAnsi="Times New Roman" w:eastAsia="Times New Roman" w:cs="宋体"/>
      <w:kern w:val="0"/>
      <w:sz w:val="24"/>
      <w:szCs w:val="20"/>
    </w:rPr>
  </w:style>
  <w:style w:type="paragraph" w:customStyle="1" w:styleId="65">
    <w:name w:val="纯文本2"/>
    <w:basedOn w:val="1"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customStyle="1" w:styleId="66">
    <w:name w:val="正文文本缩进2"/>
    <w:basedOn w:val="1"/>
    <w:uiPriority w:val="0"/>
    <w:pPr>
      <w:ind w:firstLine="540" w:firstLineChars="257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67">
    <w:name w:val="正文文本缩进 32"/>
    <w:basedOn w:val="1"/>
    <w:uiPriority w:val="0"/>
    <w:pPr>
      <w:spacing w:beforeLines="50" w:afterLines="50" w:line="400" w:lineRule="exact"/>
      <w:ind w:firstLine="480" w:firstLineChars="200"/>
    </w:pPr>
    <w:rPr>
      <w:rFonts w:ascii="Times New Roman" w:hAnsi="Times New Roman" w:eastAsia="仿宋" w:cs="Times New Roman"/>
      <w:color w:val="000000"/>
      <w:kern w:val="0"/>
      <w:sz w:val="24"/>
      <w:szCs w:val="24"/>
    </w:rPr>
  </w:style>
  <w:style w:type="paragraph" w:customStyle="1" w:styleId="68">
    <w:name w:val="正文文本缩进 22"/>
    <w:basedOn w:val="1"/>
    <w:uiPriority w:val="0"/>
    <w:pPr>
      <w:spacing w:after="120" w:line="480" w:lineRule="auto"/>
      <w:ind w:left="4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69">
    <w:name w:val="正文文本2"/>
    <w:basedOn w:val="1"/>
    <w:uiPriority w:val="0"/>
    <w:pPr>
      <w:spacing w:after="1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70">
    <w:name w:val="日期2"/>
    <w:basedOn w:val="1"/>
    <w:next w:val="1"/>
    <w:uiPriority w:val="0"/>
    <w:rPr>
      <w:rFonts w:ascii="Times New Roman" w:hAnsi="Times New Roman" w:eastAsia="仿宋" w:cs="Times New Roman"/>
      <w:kern w:val="0"/>
      <w:sz w:val="28"/>
      <w:szCs w:val="20"/>
    </w:rPr>
  </w:style>
  <w:style w:type="paragraph" w:customStyle="1" w:styleId="71">
    <w:name w:val="批注框文本2"/>
    <w:basedOn w:val="1"/>
    <w:uiPriority w:val="0"/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2">
    <w:name w:val="批注引用2"/>
    <w:uiPriority w:val="0"/>
    <w:rPr>
      <w:sz w:val="21"/>
      <w:szCs w:val="21"/>
    </w:rPr>
  </w:style>
  <w:style w:type="paragraph" w:customStyle="1" w:styleId="73">
    <w:name w:val="批注文字2"/>
    <w:basedOn w:val="1"/>
    <w:uiPriority w:val="0"/>
    <w:pPr>
      <w:jc w:val="left"/>
    </w:pPr>
    <w:rPr>
      <w:rFonts w:ascii="Times New Roman" w:hAnsi="Times New Roman" w:eastAsia="仿宋" w:cs="Times New Roman"/>
      <w:kern w:val="0"/>
      <w:sz w:val="28"/>
      <w:szCs w:val="24"/>
    </w:rPr>
  </w:style>
  <w:style w:type="character" w:customStyle="1" w:styleId="74">
    <w:name w:val="已访问的超链接2"/>
    <w:uiPriority w:val="0"/>
    <w:rPr>
      <w:color w:val="800080"/>
      <w:u w:val="single"/>
    </w:rPr>
  </w:style>
  <w:style w:type="paragraph" w:customStyle="1" w:styleId="75">
    <w:name w:val="脚注文本2"/>
    <w:basedOn w:val="1"/>
    <w:uiPriority w:val="0"/>
    <w:pPr>
      <w:snapToGrid w:val="0"/>
      <w:jc w:val="left"/>
    </w:pPr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6">
    <w:name w:val="脚注引用2"/>
    <w:uiPriority w:val="0"/>
    <w:rPr>
      <w:vertAlign w:val="superscript"/>
    </w:rPr>
  </w:style>
  <w:style w:type="paragraph" w:customStyle="1" w:styleId="77">
    <w:name w:val="批注主题2"/>
    <w:basedOn w:val="73"/>
    <w:next w:val="73"/>
    <w:uiPriority w:val="0"/>
    <w:rPr>
      <w:b/>
      <w:bCs/>
    </w:rPr>
  </w:style>
  <w:style w:type="paragraph" w:customStyle="1" w:styleId="78">
    <w:name w:val="文档结构图2"/>
    <w:basedOn w:val="1"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paragraph" w:customStyle="1" w:styleId="79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80">
    <w:name w:val="批注框文本 Char1"/>
    <w:basedOn w:val="13"/>
    <w:link w:val="7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9B63F8-5CEC-403B-923E-0433FDF732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3135</Words>
  <Characters>17870</Characters>
  <Lines>148</Lines>
  <Paragraphs>41</Paragraphs>
  <TotalTime>1352</TotalTime>
  <ScaleCrop>false</ScaleCrop>
  <LinksUpToDate>false</LinksUpToDate>
  <CharactersWithSpaces>20964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2016-12-11T08:24:00Z</dcterms:created>
  <dc:creator>X</dc:creator>
  <cp:lastModifiedBy>Administrator</cp:lastModifiedBy>
  <cp:lastPrinted>2017-07-04T08:02:00Z</cp:lastPrinted>
  <dcterms:modified xsi:type="dcterms:W3CDTF">2018-06-27T08:33:19Z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