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8872185"/>
      <w:bookmarkStart w:id="1" w:name="_Toc469236685"/>
      <w:bookmarkStart w:id="2" w:name="_Toc469067200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白兔潭镇土地利用总体规划（20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06</w:t>
      </w:r>
      <w:r>
        <w:rPr>
          <w:rFonts w:ascii="Times New Roman" w:hAnsi="Times New Roman" w:eastAsia="黑体" w:cs="Times New Roman"/>
          <w:b/>
          <w:sz w:val="84"/>
          <w:szCs w:val="84"/>
        </w:rPr>
        <w:t>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40"/>
          <w:kern w:val="0"/>
          <w:sz w:val="48"/>
          <w:szCs w:val="44"/>
          <w:fitText w:val="4402" w:id="0"/>
        </w:rPr>
        <w:t>白兔潭镇人民政</w:t>
      </w:r>
      <w:r>
        <w:rPr>
          <w:rFonts w:ascii="Times New Roman" w:hAnsi="Times New Roman" w:eastAsia="黑体" w:cs="Times New Roman"/>
          <w:spacing w:val="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"_Toc485837688"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_Toc485837688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"_Toc485837689" </w:instrText>
      </w:r>
      <w:r>
        <w:fldChar w:fldCharType="separate"/>
      </w:r>
      <w:r>
        <w:rPr>
          <w:rStyle w:val="18"/>
          <w:rFonts w:hint="eastAsia"/>
        </w:rPr>
        <w:t>（一）行政区划调整</w:t>
      </w:r>
      <w:r>
        <w:tab/>
      </w:r>
      <w:r>
        <w:fldChar w:fldCharType="begin"/>
      </w:r>
      <w:r>
        <w:instrText xml:space="preserve"> PAGEREF _Toc485837689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"_Toc485837690" </w:instrText>
      </w:r>
      <w:r>
        <w:fldChar w:fldCharType="separate"/>
      </w:r>
      <w:r>
        <w:rPr>
          <w:rStyle w:val="18"/>
          <w:rFonts w:hint="eastAsia"/>
        </w:rPr>
        <w:t>（二）地理区位</w:t>
      </w:r>
      <w:r>
        <w:tab/>
      </w:r>
      <w:r>
        <w:fldChar w:fldCharType="begin"/>
      </w:r>
      <w:r>
        <w:instrText xml:space="preserve"> PAGEREF _Toc485837690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"_Toc485837691" </w:instrText>
      </w:r>
      <w:r>
        <w:fldChar w:fldCharType="separate"/>
      </w:r>
      <w:r>
        <w:rPr>
          <w:rStyle w:val="18"/>
          <w:rFonts w:hint="eastAsia"/>
        </w:rPr>
        <w:t>（三）经济发展</w:t>
      </w:r>
      <w:r>
        <w:tab/>
      </w:r>
      <w:r>
        <w:fldChar w:fldCharType="begin"/>
      </w:r>
      <w:r>
        <w:instrText xml:space="preserve"> PAGEREF _Toc485837691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"_Toc485837692" </w:instrText>
      </w:r>
      <w:r>
        <w:fldChar w:fldCharType="separate"/>
      </w:r>
      <w:r>
        <w:rPr>
          <w:rStyle w:val="18"/>
          <w:rFonts w:hint="eastAsia"/>
        </w:rPr>
        <w:t>（四）土地利用现状</w:t>
      </w:r>
      <w:r>
        <w:tab/>
      </w:r>
      <w:r>
        <w:fldChar w:fldCharType="begin"/>
      </w:r>
      <w:r>
        <w:instrText xml:space="preserve"> PAGEREF _Toc485837692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"_Toc485837693"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_Toc485837693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"_Toc485837694"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_Toc485837694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"_Toc485837695"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_Toc485837695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"_Toc485837696" </w:instrText>
      </w:r>
      <w:r>
        <w:fldChar w:fldCharType="separate"/>
      </w:r>
      <w:r>
        <w:rPr>
          <w:rStyle w:val="18"/>
          <w:rFonts w:hint="eastAsia"/>
        </w:rPr>
        <w:t>（一）调出情况</w:t>
      </w:r>
      <w:r>
        <w:tab/>
      </w:r>
      <w:r>
        <w:fldChar w:fldCharType="begin"/>
      </w:r>
      <w:r>
        <w:instrText xml:space="preserve"> PAGEREF _Toc485837696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"_Toc485837697" </w:instrText>
      </w:r>
      <w:r>
        <w:fldChar w:fldCharType="separate"/>
      </w:r>
      <w:r>
        <w:rPr>
          <w:rStyle w:val="18"/>
          <w:rFonts w:hint="eastAsia"/>
        </w:rPr>
        <w:t>（二）补划情况</w:t>
      </w:r>
      <w:r>
        <w:tab/>
      </w:r>
      <w:r>
        <w:fldChar w:fldCharType="begin"/>
      </w:r>
      <w:r>
        <w:instrText xml:space="preserve"> PAGEREF _Toc485837697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"_Toc485837698"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_Toc485837698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"_Toc485837699" </w:instrText>
      </w:r>
      <w:r>
        <w:fldChar w:fldCharType="separate"/>
      </w:r>
      <w:r>
        <w:rPr>
          <w:rStyle w:val="18"/>
          <w:rFonts w:hint="eastAsia"/>
        </w:rPr>
        <w:t>（一）城镇用地</w:t>
      </w:r>
      <w:r>
        <w:tab/>
      </w:r>
      <w:r>
        <w:fldChar w:fldCharType="begin"/>
      </w:r>
      <w:r>
        <w:instrText xml:space="preserve"> PAGEREF _Toc485837699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"_Toc485837700" </w:instrText>
      </w:r>
      <w:r>
        <w:fldChar w:fldCharType="separate"/>
      </w:r>
      <w:r>
        <w:rPr>
          <w:rStyle w:val="18"/>
          <w:rFonts w:hint="eastAsia"/>
        </w:rPr>
        <w:t>（二）农村居民点用地</w:t>
      </w:r>
      <w:r>
        <w:tab/>
      </w:r>
      <w:r>
        <w:fldChar w:fldCharType="begin"/>
      </w:r>
      <w:r>
        <w:instrText xml:space="preserve"> PAGEREF _Toc485837700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"_Toc485837701" </w:instrText>
      </w:r>
      <w:r>
        <w:fldChar w:fldCharType="separate"/>
      </w:r>
      <w:r>
        <w:rPr>
          <w:rStyle w:val="18"/>
          <w:rFonts w:hint="eastAsia"/>
        </w:rPr>
        <w:t>（三）采矿及其他独立建设用地</w:t>
      </w:r>
      <w:r>
        <w:tab/>
      </w:r>
      <w:r>
        <w:fldChar w:fldCharType="begin"/>
      </w:r>
      <w:r>
        <w:instrText xml:space="preserve"> PAGEREF _Toc485837701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"_Toc485837702" </w:instrText>
      </w:r>
      <w:r>
        <w:fldChar w:fldCharType="separate"/>
      </w:r>
      <w:r>
        <w:rPr>
          <w:rStyle w:val="18"/>
          <w:rFonts w:hint="eastAsia"/>
        </w:rPr>
        <w:t>（四）交通水利用地</w:t>
      </w:r>
      <w:r>
        <w:tab/>
      </w:r>
      <w:r>
        <w:fldChar w:fldCharType="begin"/>
      </w:r>
      <w:r>
        <w:instrText xml:space="preserve"> PAGEREF _Toc485837702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"_Toc485837703" </w:instrText>
      </w:r>
      <w:r>
        <w:fldChar w:fldCharType="separate"/>
      </w:r>
      <w:r>
        <w:rPr>
          <w:rStyle w:val="18"/>
          <w:rFonts w:hint="eastAsia"/>
        </w:rPr>
        <w:t>（五）其他建设用地</w:t>
      </w:r>
      <w:r>
        <w:tab/>
      </w:r>
      <w:r>
        <w:fldChar w:fldCharType="begin"/>
      </w:r>
      <w:r>
        <w:instrText xml:space="preserve"> PAGEREF _Toc485837703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"_Toc485837704"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_Toc485837704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"_Toc485837705" </w:instrText>
      </w:r>
      <w:r>
        <w:fldChar w:fldCharType="separate"/>
      </w:r>
      <w:r>
        <w:rPr>
          <w:rStyle w:val="18"/>
          <w:rFonts w:hint="eastAsia"/>
        </w:rPr>
        <w:t>（一）土地用途分区修改</w:t>
      </w:r>
      <w:r>
        <w:tab/>
      </w:r>
      <w:r>
        <w:fldChar w:fldCharType="begin"/>
      </w:r>
      <w:r>
        <w:instrText xml:space="preserve"> PAGEREF _Toc485837705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"_Toc485837706" </w:instrText>
      </w:r>
      <w:r>
        <w:fldChar w:fldCharType="separate"/>
      </w:r>
      <w:r>
        <w:rPr>
          <w:rStyle w:val="18"/>
          <w:rFonts w:hint="eastAsia"/>
        </w:rPr>
        <w:t>（二）建设用地管制分区修改</w:t>
      </w:r>
      <w:r>
        <w:tab/>
      </w:r>
      <w:r>
        <w:fldChar w:fldCharType="begin"/>
      </w:r>
      <w:r>
        <w:instrText xml:space="preserve"> PAGEREF _Toc485837706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"_Toc485837707" </w:instrText>
      </w:r>
      <w:r>
        <w:fldChar w:fldCharType="separate"/>
      </w:r>
      <w:r>
        <w:rPr>
          <w:rStyle w:val="18"/>
          <w:rFonts w:hint="eastAsia" w:cs="Times New Roman"/>
          <w:kern w:val="0"/>
        </w:rPr>
        <w:t>附表</w:t>
      </w:r>
      <w:r>
        <w:tab/>
      </w:r>
      <w:r>
        <w:fldChar w:fldCharType="begin"/>
      </w:r>
      <w:r>
        <w:instrText xml:space="preserve"> PAGEREF _Toc485837707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"_Toc485837708"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1  </w:t>
      </w:r>
      <w:r>
        <w:rPr>
          <w:rStyle w:val="18"/>
          <w:rFonts w:hint="eastAsia"/>
        </w:rPr>
        <w:t>白兔潭镇土地利用现状表（</w:t>
      </w:r>
      <w:r>
        <w:rPr>
          <w:rStyle w:val="18"/>
        </w:rPr>
        <w:t>2014</w:t>
      </w:r>
      <w:r>
        <w:rPr>
          <w:rStyle w:val="18"/>
          <w:rFonts w:hint="eastAsia"/>
        </w:rPr>
        <w:t>年）</w:t>
      </w:r>
      <w:r>
        <w:tab/>
      </w:r>
      <w:r>
        <w:fldChar w:fldCharType="begin"/>
      </w:r>
      <w:r>
        <w:instrText xml:space="preserve"> PAGEREF _Toc485837708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"_Toc485837709"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2  </w:t>
      </w:r>
      <w:r>
        <w:rPr>
          <w:rStyle w:val="18"/>
          <w:rFonts w:hint="eastAsia"/>
        </w:rPr>
        <w:t>白兔潭镇土地利用结构调整表</w:t>
      </w:r>
      <w:r>
        <w:tab/>
      </w:r>
      <w:r>
        <w:fldChar w:fldCharType="begin"/>
      </w:r>
      <w:r>
        <w:instrText xml:space="preserve"> PAGEREF _Toc485837709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"_Toc485837710"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3  </w:t>
      </w:r>
      <w:r>
        <w:rPr>
          <w:rStyle w:val="18"/>
          <w:rFonts w:hint="eastAsia"/>
        </w:rPr>
        <w:t>白兔潭镇土地利用规划目标调整表</w:t>
      </w:r>
      <w:r>
        <w:tab/>
      </w:r>
      <w:r>
        <w:fldChar w:fldCharType="begin"/>
      </w:r>
      <w:r>
        <w:instrText xml:space="preserve"> PAGEREF _Toc485837710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"_Toc485837711"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4  </w:t>
      </w:r>
      <w:r>
        <w:rPr>
          <w:rStyle w:val="18"/>
          <w:rFonts w:hint="eastAsia"/>
        </w:rPr>
        <w:t>白兔潭镇落实上一级土地利用规划指标情况表</w:t>
      </w:r>
      <w:r>
        <w:tab/>
      </w:r>
      <w:r>
        <w:fldChar w:fldCharType="begin"/>
      </w:r>
      <w:r>
        <w:instrText xml:space="preserve"> PAGEREF _Toc485837711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"_Toc485837712"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5  </w:t>
      </w:r>
      <w:r>
        <w:rPr>
          <w:rStyle w:val="18"/>
          <w:rFonts w:hint="eastAsia"/>
        </w:rPr>
        <w:t>调入区域规划调整前后对比表</w:t>
      </w:r>
      <w:r>
        <w:tab/>
      </w:r>
      <w:r>
        <w:fldChar w:fldCharType="begin"/>
      </w:r>
      <w:r>
        <w:instrText xml:space="preserve"> PAGEREF _Toc485837712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"_Toc485837713"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6  </w:t>
      </w:r>
      <w:r>
        <w:rPr>
          <w:rStyle w:val="18"/>
          <w:rFonts w:hint="eastAsia"/>
        </w:rPr>
        <w:t>调出区域规划调整前后对比表</w:t>
      </w:r>
      <w:r>
        <w:tab/>
      </w:r>
      <w:r>
        <w:fldChar w:fldCharType="begin"/>
      </w:r>
      <w:r>
        <w:instrText xml:space="preserve"> PAGEREF _Toc485837713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"_Toc485837714"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7  </w:t>
      </w:r>
      <w:r>
        <w:rPr>
          <w:rStyle w:val="18"/>
          <w:rFonts w:hint="eastAsia"/>
        </w:rPr>
        <w:t>白兔潭镇耕地保有量和基本农田保护面积分解表</w:t>
      </w:r>
      <w:r>
        <w:tab/>
      </w:r>
      <w:r>
        <w:fldChar w:fldCharType="begin"/>
      </w:r>
      <w:r>
        <w:instrText xml:space="preserve"> PAGEREF _Toc485837714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"_Toc485837715"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8  </w:t>
      </w:r>
      <w:r>
        <w:rPr>
          <w:rStyle w:val="18"/>
          <w:rFonts w:hint="eastAsia"/>
        </w:rPr>
        <w:t>白兔潭镇土地用途分区修改情况表</w:t>
      </w:r>
      <w:r>
        <w:tab/>
      </w:r>
      <w:r>
        <w:fldChar w:fldCharType="begin"/>
      </w:r>
      <w:r>
        <w:instrText xml:space="preserve"> PAGEREF _Toc485837715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"_Toc485837716"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9  </w:t>
      </w:r>
      <w:r>
        <w:rPr>
          <w:rStyle w:val="18"/>
          <w:rFonts w:hint="eastAsia"/>
        </w:rPr>
        <w:t>白兔潭镇建设用地空间管制分区修改情况表</w:t>
      </w:r>
      <w:r>
        <w:tab/>
      </w:r>
      <w:r>
        <w:fldChar w:fldCharType="begin"/>
      </w:r>
      <w:r>
        <w:instrText xml:space="preserve"> PAGEREF _Toc485837716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"_Toc485837717"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10  </w:t>
      </w:r>
      <w:r>
        <w:rPr>
          <w:rStyle w:val="18"/>
          <w:rFonts w:hint="eastAsia"/>
        </w:rPr>
        <w:t>白兔潭镇</w:t>
      </w:r>
      <w:r>
        <w:rPr>
          <w:rStyle w:val="18"/>
        </w:rPr>
        <w:t>2016-2020</w:t>
      </w:r>
      <w:r>
        <w:rPr>
          <w:rStyle w:val="18"/>
          <w:rFonts w:hint="eastAsia"/>
        </w:rPr>
        <w:t>年重点建设用地项目规划表</w:t>
      </w:r>
      <w:r>
        <w:tab/>
      </w:r>
      <w:r>
        <w:fldChar w:fldCharType="begin"/>
      </w:r>
      <w:r>
        <w:instrText xml:space="preserve"> PAGEREF _Toc485837717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"_Toc485837718"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11  </w:t>
      </w:r>
      <w:r>
        <w:rPr>
          <w:rStyle w:val="18"/>
          <w:rFonts w:hint="eastAsia"/>
        </w:rPr>
        <w:t>白兔潭镇土地用途分区面积统计表</w:t>
      </w:r>
      <w:r>
        <w:tab/>
      </w:r>
      <w:r>
        <w:fldChar w:fldCharType="begin"/>
      </w:r>
      <w:r>
        <w:instrText xml:space="preserve"> PAGEREF _Toc485837718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88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"_Toc485837719" </w:instrText>
      </w:r>
      <w:r>
        <w:fldChar w:fldCharType="separate"/>
      </w:r>
      <w:r>
        <w:rPr>
          <w:rStyle w:val="18"/>
          <w:rFonts w:hint="eastAsia"/>
        </w:rPr>
        <w:t>附表</w:t>
      </w:r>
      <w:r>
        <w:rPr>
          <w:rStyle w:val="18"/>
        </w:rPr>
        <w:t xml:space="preserve">12  </w:t>
      </w:r>
      <w:r>
        <w:rPr>
          <w:rStyle w:val="18"/>
          <w:rFonts w:hint="eastAsia"/>
        </w:rPr>
        <w:t>白兔潭镇</w:t>
      </w:r>
      <w:r>
        <w:rPr>
          <w:rStyle w:val="18"/>
        </w:rPr>
        <w:t>2006-2020</w:t>
      </w:r>
      <w:r>
        <w:rPr>
          <w:rStyle w:val="18"/>
          <w:rFonts w:hint="eastAsia"/>
        </w:rPr>
        <w:t>年地类结构平衡表</w:t>
      </w:r>
      <w:r>
        <w:tab/>
      </w:r>
      <w:r>
        <w:fldChar w:fldCharType="begin"/>
      </w:r>
      <w:r>
        <w:instrText xml:space="preserve"> PAGEREF _Toc485837719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/>
          <w:pgMar w:top="1440" w:right="1800" w:bottom="1440" w:left="1800" w:header="851" w:footer="992" w:gutter="0"/>
          <w:pgNumType w:fmt="upperRoman" w:start="1"/>
          <w:cols w:space="425" w:num="2"/>
          <w:docGrid w:type="lines" w:linePitch="312" w:charSpace="0"/>
        </w:sectPr>
      </w:pP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837688"/>
      <w:bookmarkStart w:id="4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837689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白兔潭镇建制村合并调整的批复》（醴政函〔2016〕52号）：白兔潭镇行政区域做出如下调整：将原富里镇的荷田、柏大、长庆3个建制村和原南桥镇兴湖村划归白兔潭镇，调整后的白兔潭镇下辖14个建制村、2个居委会，总人口6.97万人，镇人民政府住湖下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37690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白兔潭镇位于醴陵市东北部，距醴陵市区25公里，与上瑞高速、浙赣复线、沪昆高铁相距不到20公里，新106国道穿境而过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37691"/>
      <w:r>
        <w:rPr>
          <w:rFonts w:ascii="Times New Roman" w:hAnsi="Times New Roman" w:eastAsia="黑体" w:cs="Times New Roman"/>
          <w:sz w:val="30"/>
          <w:szCs w:val="30"/>
        </w:rPr>
        <w:t>（三）发展</w:t>
      </w:r>
      <w:bookmarkEnd w:id="7"/>
      <w:r>
        <w:rPr>
          <w:rFonts w:hint="eastAsia" w:ascii="Times New Roman" w:hAnsi="Times New Roman" w:eastAsia="黑体" w:cs="Times New Roman"/>
          <w:sz w:val="30"/>
          <w:szCs w:val="30"/>
        </w:rPr>
        <w:t>定位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白兔潭镇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是醴陵东部的政治、经济、文化中心，湘东赣西的商贸重镇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，是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湖南省新型城镇化试点镇。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根据《醴陵市城市总体规划（2010-2030）》，白兔潭镇是东部城镇密集发展带上的重点镇、小城镇优化发展区的核心镇。产业发展以商贸、物流为主，陶瓷、花炮、农产品深加工为辅，特色鲜明，环境优美。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69235315"/>
      <w:bookmarkStart w:id="9" w:name="_Toc485837692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2014年，白兔潭镇土地总面积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7225.90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5900.81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81.66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1170.01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16.19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155.08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2.15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837693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规划范围为白兔潭镇区域内的所有土地，土地总面积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7225.90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837694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1814.00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1601.00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43.14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1101.75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1050.02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385.88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250.89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238.45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D:\\醴陵调整完善\\表格(净2013)\\乡镇表格\\20白兔潭镇\\乡镇规划附表.xlsx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56.26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837695"/>
      <w:bookmarkStart w:id="20" w:name="_Toc469235320"/>
      <w:bookmarkStart w:id="21" w:name="_Toc145225166"/>
      <w:bookmarkStart w:id="22" w:name="_Toc204342104"/>
      <w:bookmarkStart w:id="23" w:name="_Toc229458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37696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96.71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13.07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公顷，分布在金牛居委会等，同时调出质量较差基本农田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83.64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37697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49.80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17.60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公顷，主要分布在白市居委会、荷田村等；调入优质耕地增加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32.20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公顷，主要分布在白市居委会、黄甲村等。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划定后，白兔潭镇永久基本农田面积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1591.21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46.81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较基本农田保护目标少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目标!R17C5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>9.74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公顷，原因主要为株洲市人民政府批复白兔潭镇规划指标后，因白兔潭新型城镇化建设，永久基本农田方案再次进行调整，调出基本农田10.56公顷，但保障全市基本农田面积达到上级下达指标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r>
        <w:rPr>
          <w:rFonts w:ascii="Times New Roman" w:hAnsi="Times New Roman" w:eastAsia="黑体" w:cs="Times New Roman"/>
          <w:sz w:val="24"/>
          <w:szCs w:val="24"/>
        </w:rPr>
        <w:t>表1 白兔潭镇基本农田布局调整情况表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56"/>
        <w:gridCol w:w="1017"/>
        <w:gridCol w:w="1017"/>
        <w:gridCol w:w="848"/>
        <w:gridCol w:w="1537"/>
        <w:gridCol w:w="950"/>
        <w:gridCol w:w="1070"/>
        <w:gridCol w:w="12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1638.12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32.20 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13.07 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83.64 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96.71 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-46.8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1591.2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37698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作为醴陵市东部城镇密集发展带上的重点镇、小城镇优化发展区的核心镇，白兔潭镇以商贸、物流为主，陶瓷、花炮、农产品深加工为辅，特色鲜明。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69235321"/>
      <w:bookmarkStart w:id="28" w:name="_Toc485837699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4"/>
        </w:rPr>
        <w:t>本次规划修改因调入增加</w:t>
      </w:r>
      <w:r>
        <w:rPr>
          <w:rFonts w:ascii="Times New Roman" w:hAnsi="Times New Roman" w:eastAsia="仿宋_GB2312" w:cs="Times New Roman"/>
          <w:sz w:val="28"/>
          <w:szCs w:val="28"/>
        </w:rPr>
        <w:t>城镇用地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城!R5C4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13.68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</w:t>
      </w:r>
      <w:r>
        <w:rPr>
          <w:rFonts w:ascii="Times New Roman" w:hAnsi="Times New Roman" w:eastAsia="仿宋_GB2312" w:cs="Times New Roman"/>
          <w:sz w:val="28"/>
          <w:szCs w:val="28"/>
        </w:rPr>
        <w:t>顷，分布在106国道，用于白兔潭镇完善现有集镇主体功能。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4"/>
        </w:rPr>
        <w:t>本次规划修改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38.19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公顷，多集中在集镇北部，因其与周边道路落差较大，开发难度较大而被调出。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281.33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256.82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24.51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  白兔潭镇城镇用地布局调整情况表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981"/>
        <w:gridCol w:w="1912"/>
        <w:gridCol w:w="1912"/>
        <w:gridCol w:w="191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77" w:type="dxa"/>
            <w:shd w:val="clear" w:color="000000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981" w:type="dxa"/>
            <w:shd w:val="clear" w:color="000000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0" w:type="dxa"/>
            <w:shd w:val="clear" w:color="000000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281.33 </w:t>
            </w:r>
          </w:p>
        </w:tc>
        <w:tc>
          <w:tcPr>
            <w:tcW w:w="1981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13.68 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38.19 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-24.51 </w:t>
            </w:r>
          </w:p>
        </w:tc>
        <w:tc>
          <w:tcPr>
            <w:tcW w:w="1910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256.82 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8"/>
        </w:rPr>
        <w:pict>
          <v:shape id="_x0000_s1029" o:spid="_x0000_s1029" o:spt="202" type="#_x0000_t202" style="position:absolute;left:0pt;margin-left:109.7pt;margin-top:140.9pt;height:27.2pt;width:51.7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G106</w:t>
                  </w:r>
                </w:p>
              </w:txbxContent>
            </v:textbox>
          </v:shape>
        </w:pict>
      </w:r>
      <w:bookmarkStart w:id="64" w:name="_GoBack"/>
      <w:bookmarkEnd w:id="64"/>
      <w:bookmarkStart w:id="29" w:name="_Toc469235322"/>
      <w:bookmarkStart w:id="30" w:name="_Toc485837700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“农民集中居住、农业集中经营、农田集中耕作”的理念，结合易地扶贫搬迁安置工程及新农村建设，对白兔潭镇农村居民点用地布局进行调整。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38.62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33.26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公顷，分布在峤岭村、山水村等；因调出还原增加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公顷，主要分布在泉园村。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4.98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2.28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公顷，主要分布在田心村。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634.92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666.28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31.36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表3白兔潭镇农村居民点用地布局调整情况表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822"/>
        <w:gridCol w:w="1121"/>
        <w:gridCol w:w="803"/>
        <w:gridCol w:w="962"/>
        <w:gridCol w:w="1282"/>
        <w:gridCol w:w="964"/>
        <w:gridCol w:w="1121"/>
        <w:gridCol w:w="14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3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74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8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2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0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3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还原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2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634.92 </w:t>
            </w:r>
          </w:p>
        </w:tc>
        <w:tc>
          <w:tcPr>
            <w:tcW w:w="8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33.26 </w:t>
            </w:r>
          </w:p>
        </w:tc>
        <w:tc>
          <w:tcPr>
            <w:tcW w:w="11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5.36 </w:t>
            </w: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38.62 </w:t>
            </w:r>
          </w:p>
        </w:tc>
        <w:tc>
          <w:tcPr>
            <w:tcW w:w="9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4.98 </w:t>
            </w:r>
          </w:p>
        </w:tc>
        <w:tc>
          <w:tcPr>
            <w:tcW w:w="12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2.28 </w:t>
            </w:r>
          </w:p>
        </w:tc>
        <w:tc>
          <w:tcPr>
            <w:tcW w:w="9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7.26 </w:t>
            </w:r>
          </w:p>
        </w:tc>
        <w:tc>
          <w:tcPr>
            <w:tcW w:w="11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31.36 </w:t>
            </w:r>
          </w:p>
        </w:tc>
        <w:tc>
          <w:tcPr>
            <w:tcW w:w="140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666.28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5837701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23.72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公顷，分布在荷田村、田心村等，用于村镇企业及醴陵市第四轮安全巡查烟花鞭炮企业建设。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67.19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60.00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0.07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公顷，主要位于荷田村等。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170.39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126.92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43.47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表4白兔潭镇采矿及其他独立建设用地布局调整情况表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89"/>
        <w:gridCol w:w="689"/>
        <w:gridCol w:w="689"/>
        <w:gridCol w:w="1414"/>
        <w:gridCol w:w="1849"/>
        <w:gridCol w:w="689"/>
        <w:gridCol w:w="1124"/>
        <w:gridCol w:w="152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2020年（修改前）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szCs w:val="21"/>
              </w:rPr>
              <w:t>①</w:t>
            </w:r>
          </w:p>
        </w:tc>
        <w:tc>
          <w:tcPr>
            <w:tcW w:w="46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szCs w:val="21"/>
              </w:rPr>
              <w:t>②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szCs w:val="21"/>
              </w:rPr>
              <w:t>②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调入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调出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农村居民点整理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11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170.39 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23.72 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23.72 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60.00 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7.12 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67.19 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-43.47 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126.92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69235324"/>
      <w:bookmarkStart w:id="34" w:name="_Toc485837702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：交通水利用地无调入增加。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规划修改因建设用地内部转换减少交通水利用地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采独!R5C6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0.07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17.28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17.21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D:\\醴陵调整完善\\表格(净2013)\\乡镇表格\\20白兔潭镇\\乡镇规划附表.xlsx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0.07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r>
        <w:rPr>
          <w:rFonts w:ascii="Times New Roman" w:hAnsi="Times New Roman" w:eastAsia="黑体" w:cs="Times New Roman"/>
          <w:sz w:val="24"/>
          <w:szCs w:val="24"/>
        </w:rPr>
        <w:t>表5白兔潭镇交通水利用地布局调整情况表</w:t>
      </w:r>
    </w:p>
    <w:p>
      <w:pPr>
        <w:ind w:firstLine="420" w:firstLineChars="200"/>
        <w:jc w:val="righ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44"/>
        <w:gridCol w:w="1274"/>
        <w:gridCol w:w="1274"/>
        <w:gridCol w:w="1274"/>
        <w:gridCol w:w="1274"/>
        <w:gridCol w:w="1142"/>
        <w:gridCol w:w="14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41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82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4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0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4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17.28 </w:t>
            </w:r>
          </w:p>
        </w:tc>
        <w:tc>
          <w:tcPr>
            <w:tcW w:w="11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12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11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-0.07 </w:t>
            </w:r>
          </w:p>
        </w:tc>
        <w:tc>
          <w:tcPr>
            <w:tcW w:w="140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17.21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69235325"/>
      <w:bookmarkStart w:id="36" w:name="_Toc485837703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</w:t>
      </w:r>
      <w:r>
        <w:rPr>
          <w:rFonts w:ascii="Times New Roman" w:hAnsi="Times New Roman" w:eastAsia="仿宋_GB2312" w:cs="Times New Roman"/>
          <w:sz w:val="28"/>
          <w:szCs w:val="24"/>
        </w:rPr>
        <w:t>：其他建设用地无调入增加。</w:t>
      </w:r>
    </w:p>
    <w:p>
      <w:pPr>
        <w:spacing w:line="60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规划修改因建设用地内部转换减少其他建设用地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其!R5C6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修改后，其他建设用地规模由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其!R5C1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34.58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其!R5C11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D:\\醴陵调整完善\\表格(净2013)\\乡镇表格\\20白兔潭镇\\乡镇规划附表.xlsx 其!R5C10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表6  白兔潭镇其他建设用地布局调整情况表</w:t>
      </w:r>
    </w:p>
    <w:p>
      <w:pPr>
        <w:spacing w:line="360" w:lineRule="auto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56"/>
        <w:gridCol w:w="1458"/>
        <w:gridCol w:w="1455"/>
        <w:gridCol w:w="1457"/>
        <w:gridCol w:w="1455"/>
        <w:gridCol w:w="1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291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291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45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45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5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34.58 </w:t>
            </w:r>
          </w:p>
        </w:tc>
        <w:tc>
          <w:tcPr>
            <w:tcW w:w="14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4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45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-0.06 </w:t>
            </w:r>
          </w:p>
        </w:tc>
        <w:tc>
          <w:tcPr>
            <w:tcW w:w="145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34.52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837704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837705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b/>
          <w:bCs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修改后，将白兔潭镇土地划分为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六</w:t>
      </w:r>
      <w:r>
        <w:rPr>
          <w:rFonts w:ascii="Times New Roman" w:hAnsi="Times New Roman" w:eastAsia="仿宋_GB2312" w:cs="Times New Roman"/>
          <w:sz w:val="28"/>
          <w:szCs w:val="32"/>
        </w:rPr>
        <w:t>个用途区，包括：基本农田保护区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1750.20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481.21</w:t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291.22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674.12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95.26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3588.46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37706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为加强对城乡建设用地的空间管制，本次规划修改，根据土地管理需要，因地制宜地将规划范围内的土地划分为三个区，分别为允许建设区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1050.02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公顷、有条件建设区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19.08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6156.80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36.62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公顷，有条件建设区较修改前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管制区!R4C4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16.40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公顷，限制建设区较修改前增加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D:\\醴陵调整完善\\表格(净2013)\\乡镇表格\\20白兔潭镇\\乡镇规划附表.xlsx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20.22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69235332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bookmarkStart w:id="44" w:name="_Toc485837707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837708"/>
      <w:r>
        <w:rPr>
          <w:rFonts w:ascii="Times New Roman" w:hAnsi="Times New Roman" w:eastAsia="黑体" w:cs="Times New Roman"/>
          <w:sz w:val="24"/>
          <w:szCs w:val="24"/>
        </w:rPr>
        <w:t>附表1  白兔潭镇土地利用现状表（2014年）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80"/>
        <w:gridCol w:w="2566"/>
        <w:gridCol w:w="2413"/>
        <w:gridCol w:w="211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2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7225.90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1813.39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25.10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57.72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0.80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3646.07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50.46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0.00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383.63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5.31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5900.81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81.66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110.38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1.53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849.56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11.76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48.08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0.67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0.00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1008.02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13.95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126.78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35.21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0.49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1170.01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16.19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98.83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56.25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155.08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2.15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5" w:type="default"/>
          <w:pgSz w:w="23814" w:h="16839"/>
          <w:pgMar w:top="1440" w:right="1440" w:bottom="1440" w:left="1701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837709"/>
      <w:bookmarkStart w:id="47" w:name="_Toc469235333"/>
      <w:r>
        <w:rPr>
          <w:rFonts w:ascii="Times New Roman" w:hAnsi="Times New Roman" w:eastAsia="黑体" w:cs="Times New Roman"/>
          <w:sz w:val="24"/>
          <w:szCs w:val="24"/>
        </w:rPr>
        <w:t>附表2白兔潭镇土地利用结构调整表</w:t>
      </w:r>
      <w:bookmarkEnd w:id="46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40"/>
        <w:gridCol w:w="1989"/>
        <w:gridCol w:w="1801"/>
        <w:gridCol w:w="1730"/>
        <w:gridCol w:w="1801"/>
        <w:gridCol w:w="1621"/>
        <w:gridCol w:w="1838"/>
        <w:gridCol w:w="1730"/>
        <w:gridCol w:w="1692"/>
        <w:gridCol w:w="1692"/>
        <w:gridCol w:w="2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31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2005年</w:t>
            </w:r>
          </w:p>
        </w:tc>
        <w:tc>
          <w:tcPr>
            <w:tcW w:w="342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2014年</w:t>
            </w:r>
          </w:p>
        </w:tc>
        <w:tc>
          <w:tcPr>
            <w:tcW w:w="356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规划修改前（2020年）</w:t>
            </w:r>
          </w:p>
        </w:tc>
        <w:tc>
          <w:tcPr>
            <w:tcW w:w="338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规划修改后(2020年)</w:t>
            </w:r>
          </w:p>
        </w:tc>
        <w:tc>
          <w:tcPr>
            <w:tcW w:w="260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2020年（修改后）-2014年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60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7225.90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7225.90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7225.90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7225.90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1831.20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25.34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1813.39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25.10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1853.85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25.66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1818.04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25.16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59.85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57.72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152.91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153.86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96.14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3701.00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51.22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3646.07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50.46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3531.79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48.88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3557.77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49.24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-88.30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384.17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5.32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383.63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423.19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5.86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466.51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6.46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82.88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5976.22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82.71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5900.81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81.66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5961.74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82.51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5996.19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82.98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95.38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105.18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1.46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110.38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1.53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281.33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256.82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3.55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146.44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807.02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11.17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849.56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11.76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634.92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8.79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666.28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9.22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-183.28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26.09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48.08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27.30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20.11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-27.97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143.09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106.81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106.81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938.29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12.99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1008.02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13.95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1086.64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15.04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1050.02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14.53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119.62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126.78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17.28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17.21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-109.57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35.21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35.21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34.58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34.52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-0.69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1093.12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15.13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1170.01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16.19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1138.50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15.76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1101.75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15.25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-68.26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98.88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98.83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98.38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98.38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-0.45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57.68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56.25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27.28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29.58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-26.67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156.56</w:t>
            </w:r>
          </w:p>
        </w:tc>
        <w:tc>
          <w:tcPr>
            <w:tcW w:w="17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18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155.08</w:t>
            </w:r>
          </w:p>
        </w:tc>
        <w:tc>
          <w:tcPr>
            <w:tcW w:w="16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18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125.66</w:t>
            </w:r>
          </w:p>
        </w:tc>
        <w:tc>
          <w:tcPr>
            <w:tcW w:w="17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127.96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260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-27.12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37710"/>
      <w:r>
        <w:rPr>
          <w:rFonts w:ascii="Times New Roman" w:hAnsi="Times New Roman" w:eastAsia="黑体" w:cs="Times New Roman"/>
          <w:sz w:val="24"/>
          <w:szCs w:val="24"/>
        </w:rPr>
        <w:t>附表3白兔潭镇</w:t>
      </w:r>
      <w:bookmarkEnd w:id="47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1853.85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1814.00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-39.85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1638.12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1601.00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-37.12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1138.50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1101.75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-36.75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1086.64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1050.02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-36.62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451.72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385.88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-65.84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280.52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250.89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-29.63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269.76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238.45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-31.31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61.11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56.26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-4.85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83.80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43.14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-40.66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837711"/>
      <w:r>
        <w:rPr>
          <w:rFonts w:ascii="Times New Roman" w:hAnsi="Times New Roman" w:eastAsia="黑体" w:cs="Times New Roman"/>
          <w:sz w:val="24"/>
          <w:szCs w:val="24"/>
        </w:rPr>
        <w:t>附表4白兔潭镇落实上一级土地利用规划指标情况表</w:t>
      </w:r>
      <w:bookmarkEnd w:id="4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23"/>
        <w:gridCol w:w="3956"/>
        <w:gridCol w:w="3631"/>
        <w:gridCol w:w="2306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6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63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3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1814.00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1818.04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4.04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1601.00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1591.2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-9.7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1101.75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1101.75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1050.02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1050.02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385.88</w:t>
            </w:r>
          </w:p>
        </w:tc>
        <w:tc>
          <w:tcPr>
            <w:tcW w:w="36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383.74</w:t>
            </w:r>
          </w:p>
        </w:tc>
        <w:tc>
          <w:tcPr>
            <w:tcW w:w="23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-2.14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50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1" w:name="_Toc485837712"/>
      <w:bookmarkStart w:id="52" w:name="_Toc469235336"/>
      <w:r>
        <w:rPr>
          <w:rFonts w:ascii="Times New Roman" w:hAnsi="Times New Roman" w:eastAsia="黑体" w:cs="Times New Roman"/>
          <w:sz w:val="24"/>
          <w:szCs w:val="24"/>
        </w:rPr>
        <w:t>附表5调入区域规划调整前后对比表</w:t>
      </w:r>
      <w:bookmarkEnd w:id="51"/>
      <w:bookmarkEnd w:id="52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2203"/>
        <w:gridCol w:w="13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250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53" w:name="_Toc469235337"/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37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其它建设用地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7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5.75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6.17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13.68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10.90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1.67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17.13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1.06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2.47 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38.62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5.95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14.42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2.28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23.72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其它建设用地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22.60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2.55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37.72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1.84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4.95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2.28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3.47 </w:t>
            </w:r>
          </w:p>
        </w:tc>
        <w:tc>
          <w:tcPr>
            <w:tcW w:w="22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76.02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5837713"/>
      <w:r>
        <w:rPr>
          <w:rFonts w:ascii="Times New Roman" w:hAnsi="Times New Roman" w:eastAsia="黑体" w:cs="Times New Roman"/>
          <w:sz w:val="24"/>
          <w:szCs w:val="24"/>
        </w:rPr>
        <w:t>附表6调出区域规划调整前后对比表</w:t>
      </w:r>
      <w:bookmarkEnd w:id="53"/>
      <w:bookmarkEnd w:id="5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378"/>
        <w:gridCol w:w="1378"/>
        <w:gridCol w:w="1378"/>
        <w:gridCol w:w="1378"/>
        <w:gridCol w:w="1403"/>
        <w:gridCol w:w="1378"/>
        <w:gridCol w:w="1378"/>
        <w:gridCol w:w="1378"/>
        <w:gridCol w:w="1378"/>
        <w:gridCol w:w="1378"/>
        <w:gridCol w:w="1378"/>
        <w:gridCol w:w="2195"/>
        <w:gridCol w:w="1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8744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3.97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28.12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1.07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38.19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4.98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2.28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7.26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25.62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3.41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35.58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1.36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67.19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34.57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3.50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63.70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1.36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5.39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2.39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9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1.79 </w:t>
            </w:r>
          </w:p>
        </w:tc>
        <w:tc>
          <w:tcPr>
            <w:tcW w:w="136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112.77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37714"/>
      <w:r>
        <w:rPr>
          <w:rFonts w:ascii="Times New Roman" w:hAnsi="Times New Roman" w:eastAsia="黑体" w:cs="Times New Roman"/>
          <w:sz w:val="24"/>
          <w:szCs w:val="24"/>
        </w:rPr>
        <w:t>附表7  白兔潭镇耕地保有量和基本农田保护面积分解表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111"/>
        <w:gridCol w:w="7086"/>
        <w:gridCol w:w="74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年耕地保有量</w:t>
            </w:r>
          </w:p>
        </w:tc>
        <w:tc>
          <w:tcPr>
            <w:tcW w:w="7457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白市居委会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124.87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柏大村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124.98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荷田村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183.09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157.12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黄甲村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224.89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金牛居委会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169.39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峤岭村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166.01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148.63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泉园村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169.33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126.21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山水村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255.21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238.05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田心村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94.97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氽溪村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81.38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长庆村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139.33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129.52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洙塘村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84.58 </w:t>
            </w:r>
          </w:p>
        </w:tc>
        <w:tc>
          <w:tcPr>
            <w:tcW w:w="7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78.93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白兔潭镇</w:t>
            </w:r>
          </w:p>
        </w:tc>
        <w:tc>
          <w:tcPr>
            <w:tcW w:w="70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1818.04 </w:t>
            </w:r>
          </w:p>
        </w:tc>
        <w:tc>
          <w:tcPr>
            <w:tcW w:w="745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1591.2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837715"/>
      <w:r>
        <w:rPr>
          <w:rFonts w:ascii="Times New Roman" w:hAnsi="Times New Roman" w:eastAsia="黑体" w:cs="Times New Roman"/>
          <w:sz w:val="24"/>
          <w:szCs w:val="24"/>
        </w:rPr>
        <w:t>附表8白兔潭镇</w:t>
      </w:r>
      <w:bookmarkEnd w:id="50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5222"/>
        <w:gridCol w:w="5222"/>
        <w:gridCol w:w="522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用途分区类型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1797.25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1750.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-47.05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598.69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418.21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-180.48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315.73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291.22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-24.51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642.76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674.12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31.36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138.73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95.26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-43.47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风景旅游用地区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34.58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-34.58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3562.48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3588.46 </w:t>
            </w:r>
          </w:p>
        </w:tc>
        <w:tc>
          <w:tcPr>
            <w:tcW w:w="5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25.98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39"/>
      <w:bookmarkStart w:id="58" w:name="_Toc485837716"/>
      <w:r>
        <w:rPr>
          <w:rFonts w:ascii="Times New Roman" w:hAnsi="Times New Roman" w:eastAsia="黑体" w:cs="Times New Roman"/>
          <w:sz w:val="24"/>
          <w:szCs w:val="24"/>
        </w:rPr>
        <w:t>附表9白兔潭镇建设用地空间管制分区修改情况表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47"/>
        <w:gridCol w:w="5243"/>
        <w:gridCol w:w="518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2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5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2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1086.64 </w:t>
            </w:r>
          </w:p>
        </w:tc>
        <w:tc>
          <w:tcPr>
            <w:tcW w:w="52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1050.02 </w:t>
            </w:r>
          </w:p>
        </w:tc>
        <w:tc>
          <w:tcPr>
            <w:tcW w:w="51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-36.62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2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2.68 </w:t>
            </w:r>
          </w:p>
        </w:tc>
        <w:tc>
          <w:tcPr>
            <w:tcW w:w="52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19.08 </w:t>
            </w:r>
          </w:p>
        </w:tc>
        <w:tc>
          <w:tcPr>
            <w:tcW w:w="51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16.40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2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6136.58 </w:t>
            </w:r>
          </w:p>
        </w:tc>
        <w:tc>
          <w:tcPr>
            <w:tcW w:w="52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6156.80 </w:t>
            </w:r>
          </w:p>
        </w:tc>
        <w:tc>
          <w:tcPr>
            <w:tcW w:w="51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20.22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2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7225.90</w:t>
            </w:r>
          </w:p>
        </w:tc>
        <w:tc>
          <w:tcPr>
            <w:tcW w:w="52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7225.90</w:t>
            </w:r>
          </w:p>
        </w:tc>
        <w:tc>
          <w:tcPr>
            <w:tcW w:w="51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9" w:name="_Toc485837717"/>
      <w:bookmarkStart w:id="60" w:name="_Toc469235340"/>
      <w:r>
        <w:rPr>
          <w:rFonts w:ascii="Times New Roman" w:hAnsi="Times New Roman" w:eastAsia="黑体" w:cs="Times New Roman"/>
          <w:sz w:val="24"/>
          <w:szCs w:val="24"/>
        </w:rPr>
        <w:t>附表10白兔潭镇2016-2020年重点建设用地项目规划表</w:t>
      </w:r>
      <w:bookmarkEnd w:id="59"/>
      <w:bookmarkEnd w:id="60"/>
    </w:p>
    <w:p>
      <w:pPr>
        <w:widowControl/>
        <w:jc w:val="center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21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0366"/>
        <w:gridCol w:w="3252"/>
        <w:gridCol w:w="475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国道106提质升级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该扩建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清水江至茶陵公路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改扩建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改扩建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渌水航道建设工程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改扩建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白兔潭二级客运站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危桥改造项目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生命防护工程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大中修项目（以省计划下达数为准）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20个贫困村道路硬化项目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改建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招呼站建设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渌江及支流治理工程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中小河流治理工程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三、民生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农村饮水安全及水源工程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白兔潭镇污水处理厂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氽溪小学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氽溪幼儿园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白兔潭镇垃圾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中转站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白兔潭镇村级活动中心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全镇各村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养老服务配套工程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四、旅游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</w:rPr>
              <w:t>21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白兔潭中华花炮文化休闲小镇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扩建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五、其他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03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陶瓷产业和先进陶瓷技术创新战略联盟工程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新建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仿宋_GB2312" w:cs="Times New Roman"/>
          <w:bCs/>
          <w:kern w:val="0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37718"/>
      <w:r>
        <w:rPr>
          <w:rFonts w:ascii="Times New Roman" w:hAnsi="Times New Roman" w:eastAsia="黑体" w:cs="Times New Roman"/>
          <w:sz w:val="24"/>
          <w:szCs w:val="24"/>
        </w:rPr>
        <w:t>附表11  白兔潭镇土地用途分区面积统计表</w:t>
      </w:r>
      <w:bookmarkEnd w:id="6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553"/>
        <w:gridCol w:w="2554"/>
        <w:gridCol w:w="2554"/>
        <w:gridCol w:w="2554"/>
        <w:gridCol w:w="2554"/>
        <w:gridCol w:w="2554"/>
        <w:gridCol w:w="255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白市居委会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117.71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17.66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49.54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35.56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23.69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柏大村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118.12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37.64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50.94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4.65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364.54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长庆村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135.61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17.12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50.86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1.67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143.86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荷田村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181.10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47.59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1.48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69.31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21.64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543.19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荷田水库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黄甲村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212.44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35.06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71.86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5.20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198.60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峤岭村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175.20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49.04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81.19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5.38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720.35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金牛居委会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165.25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45.28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208.72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65.26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8.05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451.89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泉园村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150.75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82.23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44.57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14.99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699.40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山水村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251.04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44.84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111.94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2.40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311.59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田心村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88.28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18.01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8.00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51.78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18.96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119.89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氽溪村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72.37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15.47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3.81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25.04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10.58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11.35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洙塘村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82.32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8.28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18.56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15.81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1.73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0.10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白兔潭镇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1750.20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418.21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291.22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674.12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95.26 </w:t>
            </w:r>
          </w:p>
        </w:tc>
        <w:tc>
          <w:tcPr>
            <w:tcW w:w="2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3588.46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85837719"/>
      <w:bookmarkStart w:id="63" w:name="_Toc469235341"/>
      <w:r>
        <w:rPr>
          <w:rFonts w:ascii="Times New Roman" w:hAnsi="Times New Roman" w:eastAsia="黑体" w:cs="Times New Roman"/>
          <w:sz w:val="24"/>
          <w:szCs w:val="24"/>
        </w:rPr>
        <w:t>附表12白兔潭镇2006-2020年地类结构平衡表</w:t>
      </w:r>
      <w:bookmarkEnd w:id="62"/>
      <w:bookmarkEnd w:id="63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21"/>
        <w:tblW w:w="20628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18"/>
        <w:gridCol w:w="1003"/>
        <w:gridCol w:w="1003"/>
        <w:gridCol w:w="937"/>
        <w:gridCol w:w="937"/>
        <w:gridCol w:w="1003"/>
        <w:gridCol w:w="937"/>
        <w:gridCol w:w="794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747"/>
        <w:gridCol w:w="937"/>
        <w:gridCol w:w="937"/>
        <w:gridCol w:w="100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规划基期现状面积</w:t>
            </w:r>
          </w:p>
        </w:tc>
        <w:tc>
          <w:tcPr>
            <w:tcW w:w="14791" w:type="dxa"/>
            <w:gridSpan w:val="1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净增减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611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6559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7225.90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5996.19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1818.04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153.86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3557.77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466.51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1101.75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256.82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666.28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20.11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106.81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17.21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34.52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127.96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98.38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29.58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7225.90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5976.22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238.45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115.43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33.95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87.86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238.45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19.97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5996.19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1831.20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56.26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32.06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12.65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10.61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56.30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-13.16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1818.04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59.85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94.01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153.86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3701.00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159.43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17.15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70.70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159.43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-143.23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3557.77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384.17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17.76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18.98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82.34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466.51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1093.12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242.26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41.92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99.02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101.30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45.22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29.89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242.26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8.63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1101.75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105.18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151.64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256.82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807.02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133.73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34.69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99.02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43.46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28.27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15.19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177.19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-140.74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666.28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26.09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7.19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-5.98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20.11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106.81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106.81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119.62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101.41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101.30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102.41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-102.41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17.21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35.21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-0.69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34.52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156.56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12.44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6.31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2.47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3.65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28.60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-28.60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127.96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98.88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-0.50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98.38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57.68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11.94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6.15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2.47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3.31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28.10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-28.10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29.58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期间增加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258.42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43.14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99.02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16.20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101.32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250.89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151.64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36.45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106.81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</w:t>
    </w:r>
  </w:p>
  <w:p>
    <w:pPr>
      <w:pStyle w:val="1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6340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10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61B0"/>
    <w:rsid w:val="000139AE"/>
    <w:rsid w:val="00013EFC"/>
    <w:rsid w:val="00026F08"/>
    <w:rsid w:val="00044D4C"/>
    <w:rsid w:val="00047A70"/>
    <w:rsid w:val="000526C9"/>
    <w:rsid w:val="000703A7"/>
    <w:rsid w:val="0007133B"/>
    <w:rsid w:val="00073A11"/>
    <w:rsid w:val="000764BD"/>
    <w:rsid w:val="00093AB8"/>
    <w:rsid w:val="000B2CCD"/>
    <w:rsid w:val="000B66F3"/>
    <w:rsid w:val="000B795F"/>
    <w:rsid w:val="000C0BE5"/>
    <w:rsid w:val="000C5DD7"/>
    <w:rsid w:val="000D4193"/>
    <w:rsid w:val="000E778D"/>
    <w:rsid w:val="000E7F45"/>
    <w:rsid w:val="000F3A70"/>
    <w:rsid w:val="00113197"/>
    <w:rsid w:val="00117309"/>
    <w:rsid w:val="0015086A"/>
    <w:rsid w:val="00154294"/>
    <w:rsid w:val="00162670"/>
    <w:rsid w:val="00163C1C"/>
    <w:rsid w:val="00166F19"/>
    <w:rsid w:val="0017419A"/>
    <w:rsid w:val="00176BDC"/>
    <w:rsid w:val="00177762"/>
    <w:rsid w:val="00190F0F"/>
    <w:rsid w:val="0019654D"/>
    <w:rsid w:val="001B360B"/>
    <w:rsid w:val="001C227A"/>
    <w:rsid w:val="001C51EF"/>
    <w:rsid w:val="001C6CC8"/>
    <w:rsid w:val="001D4230"/>
    <w:rsid w:val="001E0D7B"/>
    <w:rsid w:val="001E5C33"/>
    <w:rsid w:val="001F53D9"/>
    <w:rsid w:val="00203C3A"/>
    <w:rsid w:val="00224AAD"/>
    <w:rsid w:val="00226878"/>
    <w:rsid w:val="002319EC"/>
    <w:rsid w:val="00235469"/>
    <w:rsid w:val="0024320A"/>
    <w:rsid w:val="00252C54"/>
    <w:rsid w:val="00261BDF"/>
    <w:rsid w:val="00282638"/>
    <w:rsid w:val="00285C17"/>
    <w:rsid w:val="00286CEE"/>
    <w:rsid w:val="002A0FCA"/>
    <w:rsid w:val="002A2067"/>
    <w:rsid w:val="002A2EEE"/>
    <w:rsid w:val="002C7D9E"/>
    <w:rsid w:val="002D55EB"/>
    <w:rsid w:val="002D5A9A"/>
    <w:rsid w:val="002E23C8"/>
    <w:rsid w:val="002F616A"/>
    <w:rsid w:val="00306B13"/>
    <w:rsid w:val="00307A6E"/>
    <w:rsid w:val="00313596"/>
    <w:rsid w:val="00323445"/>
    <w:rsid w:val="00351065"/>
    <w:rsid w:val="0036374D"/>
    <w:rsid w:val="00380F9E"/>
    <w:rsid w:val="0039670C"/>
    <w:rsid w:val="00396C70"/>
    <w:rsid w:val="003978E5"/>
    <w:rsid w:val="004032FA"/>
    <w:rsid w:val="0040444B"/>
    <w:rsid w:val="00404D1B"/>
    <w:rsid w:val="00412BA5"/>
    <w:rsid w:val="00413139"/>
    <w:rsid w:val="00414AB2"/>
    <w:rsid w:val="0042182E"/>
    <w:rsid w:val="00423B86"/>
    <w:rsid w:val="004301EE"/>
    <w:rsid w:val="00430591"/>
    <w:rsid w:val="004368E6"/>
    <w:rsid w:val="00443903"/>
    <w:rsid w:val="00443B0C"/>
    <w:rsid w:val="00446255"/>
    <w:rsid w:val="00451FEC"/>
    <w:rsid w:val="004603D1"/>
    <w:rsid w:val="00460471"/>
    <w:rsid w:val="004661C9"/>
    <w:rsid w:val="004665DD"/>
    <w:rsid w:val="00471652"/>
    <w:rsid w:val="00473B05"/>
    <w:rsid w:val="00474305"/>
    <w:rsid w:val="00485F74"/>
    <w:rsid w:val="0049040A"/>
    <w:rsid w:val="004A18A3"/>
    <w:rsid w:val="004A360B"/>
    <w:rsid w:val="004A4F27"/>
    <w:rsid w:val="004A5FD4"/>
    <w:rsid w:val="004A768B"/>
    <w:rsid w:val="004C30C9"/>
    <w:rsid w:val="004C516C"/>
    <w:rsid w:val="004E16F5"/>
    <w:rsid w:val="004F4F16"/>
    <w:rsid w:val="00502A4F"/>
    <w:rsid w:val="00530243"/>
    <w:rsid w:val="00531E11"/>
    <w:rsid w:val="0053260A"/>
    <w:rsid w:val="00533601"/>
    <w:rsid w:val="005410FB"/>
    <w:rsid w:val="00576B2E"/>
    <w:rsid w:val="00584693"/>
    <w:rsid w:val="0058506F"/>
    <w:rsid w:val="005854B2"/>
    <w:rsid w:val="00587E99"/>
    <w:rsid w:val="00592EAD"/>
    <w:rsid w:val="005A0EFC"/>
    <w:rsid w:val="005B0BD9"/>
    <w:rsid w:val="005E0424"/>
    <w:rsid w:val="005E1EC9"/>
    <w:rsid w:val="005E33E0"/>
    <w:rsid w:val="005E5FA6"/>
    <w:rsid w:val="005F0D02"/>
    <w:rsid w:val="005F3BB2"/>
    <w:rsid w:val="006021E4"/>
    <w:rsid w:val="0060625A"/>
    <w:rsid w:val="00607140"/>
    <w:rsid w:val="00615294"/>
    <w:rsid w:val="006259D7"/>
    <w:rsid w:val="00627537"/>
    <w:rsid w:val="00655C39"/>
    <w:rsid w:val="006579FA"/>
    <w:rsid w:val="00660D0A"/>
    <w:rsid w:val="00667339"/>
    <w:rsid w:val="006724F9"/>
    <w:rsid w:val="00687890"/>
    <w:rsid w:val="00695D0E"/>
    <w:rsid w:val="006A648B"/>
    <w:rsid w:val="006B0C25"/>
    <w:rsid w:val="006B0F9A"/>
    <w:rsid w:val="006B2A1D"/>
    <w:rsid w:val="006B6CD1"/>
    <w:rsid w:val="006E55A8"/>
    <w:rsid w:val="006E7807"/>
    <w:rsid w:val="006E7B34"/>
    <w:rsid w:val="006F3393"/>
    <w:rsid w:val="006F765B"/>
    <w:rsid w:val="00705425"/>
    <w:rsid w:val="0071098D"/>
    <w:rsid w:val="00711027"/>
    <w:rsid w:val="007574DB"/>
    <w:rsid w:val="00775AE2"/>
    <w:rsid w:val="00787D38"/>
    <w:rsid w:val="007952E2"/>
    <w:rsid w:val="00795511"/>
    <w:rsid w:val="007B1076"/>
    <w:rsid w:val="007D0F0C"/>
    <w:rsid w:val="007E32BF"/>
    <w:rsid w:val="007E4ACF"/>
    <w:rsid w:val="00813413"/>
    <w:rsid w:val="0081430E"/>
    <w:rsid w:val="00814BD7"/>
    <w:rsid w:val="008223EC"/>
    <w:rsid w:val="00831ABD"/>
    <w:rsid w:val="00850984"/>
    <w:rsid w:val="008553D5"/>
    <w:rsid w:val="00865D22"/>
    <w:rsid w:val="00884F16"/>
    <w:rsid w:val="00890CB1"/>
    <w:rsid w:val="008A1D18"/>
    <w:rsid w:val="008A5F86"/>
    <w:rsid w:val="008C1099"/>
    <w:rsid w:val="008C5C79"/>
    <w:rsid w:val="008E7BD6"/>
    <w:rsid w:val="00903133"/>
    <w:rsid w:val="00914704"/>
    <w:rsid w:val="0091628D"/>
    <w:rsid w:val="00931EC6"/>
    <w:rsid w:val="00932866"/>
    <w:rsid w:val="0093500E"/>
    <w:rsid w:val="00944804"/>
    <w:rsid w:val="00946129"/>
    <w:rsid w:val="009470EC"/>
    <w:rsid w:val="009502B5"/>
    <w:rsid w:val="0095383F"/>
    <w:rsid w:val="00954CA8"/>
    <w:rsid w:val="0095733A"/>
    <w:rsid w:val="00983BF2"/>
    <w:rsid w:val="009B3AAE"/>
    <w:rsid w:val="009B6B1A"/>
    <w:rsid w:val="009C0AB9"/>
    <w:rsid w:val="009C635F"/>
    <w:rsid w:val="009C66FB"/>
    <w:rsid w:val="009C7C0E"/>
    <w:rsid w:val="009D794E"/>
    <w:rsid w:val="009E3F40"/>
    <w:rsid w:val="009E4A7A"/>
    <w:rsid w:val="009F1057"/>
    <w:rsid w:val="00A11E93"/>
    <w:rsid w:val="00A154F8"/>
    <w:rsid w:val="00A1609A"/>
    <w:rsid w:val="00A32F8B"/>
    <w:rsid w:val="00A46CED"/>
    <w:rsid w:val="00A55EBE"/>
    <w:rsid w:val="00A65B66"/>
    <w:rsid w:val="00A70F5E"/>
    <w:rsid w:val="00A7599D"/>
    <w:rsid w:val="00A958B9"/>
    <w:rsid w:val="00A96F76"/>
    <w:rsid w:val="00AB4459"/>
    <w:rsid w:val="00AB5A7C"/>
    <w:rsid w:val="00AE07E1"/>
    <w:rsid w:val="00AE46A7"/>
    <w:rsid w:val="00AF2CDB"/>
    <w:rsid w:val="00AF7464"/>
    <w:rsid w:val="00B475FC"/>
    <w:rsid w:val="00B6245A"/>
    <w:rsid w:val="00B72120"/>
    <w:rsid w:val="00B8546C"/>
    <w:rsid w:val="00BB77FA"/>
    <w:rsid w:val="00BC3A96"/>
    <w:rsid w:val="00BD19DC"/>
    <w:rsid w:val="00BF3DD2"/>
    <w:rsid w:val="00BF6CF0"/>
    <w:rsid w:val="00C11C26"/>
    <w:rsid w:val="00C33B57"/>
    <w:rsid w:val="00C360DA"/>
    <w:rsid w:val="00C37561"/>
    <w:rsid w:val="00C47893"/>
    <w:rsid w:val="00C534A9"/>
    <w:rsid w:val="00C55557"/>
    <w:rsid w:val="00C55E08"/>
    <w:rsid w:val="00C63C8E"/>
    <w:rsid w:val="00C7492D"/>
    <w:rsid w:val="00C85EE4"/>
    <w:rsid w:val="00C865DB"/>
    <w:rsid w:val="00C944A5"/>
    <w:rsid w:val="00CA6E9A"/>
    <w:rsid w:val="00CB734E"/>
    <w:rsid w:val="00CC0586"/>
    <w:rsid w:val="00CC4609"/>
    <w:rsid w:val="00CD1C19"/>
    <w:rsid w:val="00CE0462"/>
    <w:rsid w:val="00CE4C8C"/>
    <w:rsid w:val="00CF7FE6"/>
    <w:rsid w:val="00D02703"/>
    <w:rsid w:val="00D04505"/>
    <w:rsid w:val="00D0665E"/>
    <w:rsid w:val="00D073CA"/>
    <w:rsid w:val="00D1083C"/>
    <w:rsid w:val="00D12925"/>
    <w:rsid w:val="00D2494A"/>
    <w:rsid w:val="00D27772"/>
    <w:rsid w:val="00D34652"/>
    <w:rsid w:val="00D4157F"/>
    <w:rsid w:val="00D41586"/>
    <w:rsid w:val="00D41C80"/>
    <w:rsid w:val="00D4456B"/>
    <w:rsid w:val="00D46487"/>
    <w:rsid w:val="00D65C02"/>
    <w:rsid w:val="00D70A01"/>
    <w:rsid w:val="00D72032"/>
    <w:rsid w:val="00D73121"/>
    <w:rsid w:val="00D905F4"/>
    <w:rsid w:val="00DA34BB"/>
    <w:rsid w:val="00DA426C"/>
    <w:rsid w:val="00DA6CA2"/>
    <w:rsid w:val="00DC0151"/>
    <w:rsid w:val="00DC15C4"/>
    <w:rsid w:val="00DD1B9F"/>
    <w:rsid w:val="00DE753F"/>
    <w:rsid w:val="00DF7D81"/>
    <w:rsid w:val="00E01C19"/>
    <w:rsid w:val="00E03762"/>
    <w:rsid w:val="00E42783"/>
    <w:rsid w:val="00E464D0"/>
    <w:rsid w:val="00E60AB5"/>
    <w:rsid w:val="00E93B2E"/>
    <w:rsid w:val="00E94A00"/>
    <w:rsid w:val="00E951A9"/>
    <w:rsid w:val="00EA0EA1"/>
    <w:rsid w:val="00EC3012"/>
    <w:rsid w:val="00EC4823"/>
    <w:rsid w:val="00EC7344"/>
    <w:rsid w:val="00ED4777"/>
    <w:rsid w:val="00ED5951"/>
    <w:rsid w:val="00EE424B"/>
    <w:rsid w:val="00EE4B2C"/>
    <w:rsid w:val="00F10C27"/>
    <w:rsid w:val="00F13E90"/>
    <w:rsid w:val="00F36BAA"/>
    <w:rsid w:val="00F41CCC"/>
    <w:rsid w:val="00F54DBF"/>
    <w:rsid w:val="00F61EF2"/>
    <w:rsid w:val="00F62D16"/>
    <w:rsid w:val="00F713C5"/>
    <w:rsid w:val="00F725DC"/>
    <w:rsid w:val="00F75139"/>
    <w:rsid w:val="00F75BB7"/>
    <w:rsid w:val="00F81ABB"/>
    <w:rsid w:val="00F86005"/>
    <w:rsid w:val="00FC057A"/>
    <w:rsid w:val="00FC29C9"/>
    <w:rsid w:val="00FC5A53"/>
    <w:rsid w:val="00FC718F"/>
    <w:rsid w:val="00FD1602"/>
    <w:rsid w:val="00FD3905"/>
    <w:rsid w:val="00FE0164"/>
    <w:rsid w:val="02557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84"/>
    <w:semiHidden/>
    <w:unhideWhenUsed/>
    <w:uiPriority w:val="99"/>
    <w:rPr>
      <w:b/>
      <w:bCs/>
    </w:rPr>
  </w:style>
  <w:style w:type="paragraph" w:styleId="7">
    <w:name w:val="annotation text"/>
    <w:basedOn w:val="1"/>
    <w:link w:val="83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5"/>
    <w:semiHidden/>
    <w:unhideWhenUsed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8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3">
    <w:name w:val="footnote text"/>
    <w:basedOn w:val="1"/>
    <w:link w:val="65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4">
    <w:name w:val="toc 2"/>
    <w:basedOn w:val="1"/>
    <w:next w:val="1"/>
    <w:link w:val="66"/>
    <w:unhideWhenUsed/>
    <w:qFormat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nhideWhenUsed/>
    <w:uiPriority w:val="99"/>
    <w:rPr>
      <w:color w:val="0000FF" w:themeColor="hyperlink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uiPriority w:val="0"/>
    <w:rPr>
      <w:vertAlign w:val="superscript"/>
    </w:rPr>
  </w:style>
  <w:style w:type="table" w:styleId="22">
    <w:name w:val="Table Grid"/>
    <w:basedOn w:val="21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眉 Char"/>
    <w:basedOn w:val="15"/>
    <w:link w:val="11"/>
    <w:uiPriority w:val="99"/>
    <w:rPr>
      <w:sz w:val="18"/>
      <w:szCs w:val="18"/>
    </w:rPr>
  </w:style>
  <w:style w:type="character" w:customStyle="1" w:styleId="24">
    <w:name w:val="页脚 Char"/>
    <w:basedOn w:val="15"/>
    <w:link w:val="10"/>
    <w:uiPriority w:val="99"/>
    <w:rPr>
      <w:sz w:val="18"/>
      <w:szCs w:val="18"/>
    </w:rPr>
  </w:style>
  <w:style w:type="character" w:customStyle="1" w:styleId="25">
    <w:name w:val="文档结构图 Char"/>
    <w:basedOn w:val="15"/>
    <w:link w:val="8"/>
    <w:uiPriority w:val="0"/>
    <w:rPr>
      <w:rFonts w:ascii="宋体" w:eastAsia="宋体"/>
      <w:sz w:val="18"/>
      <w:szCs w:val="18"/>
    </w:rPr>
  </w:style>
  <w:style w:type="character" w:customStyle="1" w:styleId="26">
    <w:name w:val="标题 3 Char"/>
    <w:basedOn w:val="15"/>
    <w:link w:val="4"/>
    <w:uiPriority w:val="0"/>
    <w:rPr>
      <w:b/>
      <w:bCs/>
      <w:sz w:val="32"/>
      <w:szCs w:val="32"/>
    </w:rPr>
  </w:style>
  <w:style w:type="character" w:customStyle="1" w:styleId="27">
    <w:name w:val="标题 1 Char"/>
    <w:basedOn w:val="1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5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4 Char"/>
    <w:basedOn w:val="15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31">
    <w:name w:val="Char Char Char Char"/>
    <w:basedOn w:val="8"/>
    <w:qFormat/>
    <w:uiPriority w:val="0"/>
  </w:style>
  <w:style w:type="character" w:customStyle="1" w:styleId="32">
    <w:name w:val="文档结构图 Char1"/>
    <w:basedOn w:val="15"/>
    <w:semiHidden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3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4">
    <w:name w:val="纯文本 Char"/>
    <w:basedOn w:val="15"/>
    <w:link w:val="35"/>
    <w:qFormat/>
    <w:uiPriority w:val="0"/>
    <w:rPr>
      <w:rFonts w:ascii="宋体" w:hAnsi="Courier New"/>
      <w:lang w:val="en-US" w:eastAsia="zh-CN"/>
    </w:rPr>
  </w:style>
  <w:style w:type="paragraph" w:customStyle="1" w:styleId="35">
    <w:name w:val="纯文本1"/>
    <w:basedOn w:val="1"/>
    <w:link w:val="34"/>
    <w:uiPriority w:val="0"/>
    <w:rPr>
      <w:rFonts w:ascii="宋体" w:hAnsi="Courier New"/>
    </w:rPr>
  </w:style>
  <w:style w:type="character" w:customStyle="1" w:styleId="36">
    <w:name w:val="txt1"/>
    <w:uiPriority w:val="0"/>
    <w:rPr>
      <w:color w:val="000000"/>
      <w:sz w:val="22"/>
      <w:szCs w:val="22"/>
    </w:rPr>
  </w:style>
  <w:style w:type="character" w:customStyle="1" w:styleId="37">
    <w:name w:val="正文文本缩进 Char"/>
    <w:basedOn w:val="15"/>
    <w:link w:val="38"/>
    <w:uiPriority w:val="0"/>
    <w:rPr>
      <w:rFonts w:eastAsia="仿宋"/>
      <w:sz w:val="28"/>
      <w:szCs w:val="24"/>
    </w:rPr>
  </w:style>
  <w:style w:type="paragraph" w:customStyle="1" w:styleId="38">
    <w:name w:val="正文文本缩进1"/>
    <w:basedOn w:val="1"/>
    <w:link w:val="37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9">
    <w:name w:val="正文文本缩进 3 Char"/>
    <w:basedOn w:val="15"/>
    <w:link w:val="40"/>
    <w:uiPriority w:val="0"/>
    <w:rPr>
      <w:rFonts w:eastAsia="仿宋"/>
      <w:color w:val="000000"/>
      <w:sz w:val="24"/>
      <w:szCs w:val="24"/>
    </w:rPr>
  </w:style>
  <w:style w:type="paragraph" w:customStyle="1" w:styleId="40">
    <w:name w:val="正文文本缩进 31"/>
    <w:basedOn w:val="1"/>
    <w:link w:val="39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41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2">
    <w:name w:val="highlight1"/>
    <w:uiPriority w:val="0"/>
    <w:rPr>
      <w:sz w:val="21"/>
      <w:szCs w:val="21"/>
    </w:rPr>
  </w:style>
  <w:style w:type="character" w:customStyle="1" w:styleId="43">
    <w:name w:val="正文文本缩进 2 Char"/>
    <w:basedOn w:val="15"/>
    <w:link w:val="44"/>
    <w:uiPriority w:val="0"/>
    <w:rPr>
      <w:rFonts w:eastAsia="仿宋"/>
      <w:sz w:val="28"/>
      <w:szCs w:val="24"/>
    </w:rPr>
  </w:style>
  <w:style w:type="paragraph" w:customStyle="1" w:styleId="44">
    <w:name w:val="正文文本缩进 21"/>
    <w:basedOn w:val="1"/>
    <w:link w:val="43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5">
    <w:name w:val="正文文本 Char"/>
    <w:basedOn w:val="15"/>
    <w:link w:val="46"/>
    <w:uiPriority w:val="0"/>
    <w:rPr>
      <w:rFonts w:eastAsia="仿宋"/>
      <w:sz w:val="28"/>
      <w:szCs w:val="24"/>
    </w:rPr>
  </w:style>
  <w:style w:type="paragraph" w:customStyle="1" w:styleId="46">
    <w:name w:val="正文文本1"/>
    <w:basedOn w:val="1"/>
    <w:link w:val="45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7">
    <w:name w:val="f14b1"/>
    <w:uiPriority w:val="0"/>
    <w:rPr>
      <w:b/>
      <w:bCs/>
      <w:sz w:val="21"/>
      <w:szCs w:val="21"/>
    </w:rPr>
  </w:style>
  <w:style w:type="character" w:customStyle="1" w:styleId="48">
    <w:name w:val="日期 Char"/>
    <w:basedOn w:val="15"/>
    <w:link w:val="49"/>
    <w:uiPriority w:val="0"/>
    <w:rPr>
      <w:rFonts w:eastAsia="仿宋"/>
      <w:sz w:val="28"/>
    </w:rPr>
  </w:style>
  <w:style w:type="paragraph" w:customStyle="1" w:styleId="49">
    <w:name w:val="日期1"/>
    <w:basedOn w:val="1"/>
    <w:next w:val="1"/>
    <w:link w:val="48"/>
    <w:uiPriority w:val="0"/>
    <w:rPr>
      <w:rFonts w:eastAsia="仿宋"/>
      <w:sz w:val="28"/>
    </w:rPr>
  </w:style>
  <w:style w:type="character" w:customStyle="1" w:styleId="50">
    <w:name w:val="批注框文本 Char"/>
    <w:basedOn w:val="15"/>
    <w:link w:val="51"/>
    <w:uiPriority w:val="0"/>
    <w:rPr>
      <w:rFonts w:eastAsia="仿宋"/>
      <w:sz w:val="18"/>
      <w:szCs w:val="18"/>
    </w:rPr>
  </w:style>
  <w:style w:type="paragraph" w:customStyle="1" w:styleId="51">
    <w:name w:val="批注框文本1"/>
    <w:basedOn w:val="1"/>
    <w:link w:val="50"/>
    <w:qFormat/>
    <w:uiPriority w:val="0"/>
    <w:rPr>
      <w:rFonts w:eastAsia="仿宋"/>
      <w:sz w:val="18"/>
      <w:szCs w:val="18"/>
    </w:rPr>
  </w:style>
  <w:style w:type="character" w:customStyle="1" w:styleId="52">
    <w:name w:val="biaoti1"/>
    <w:uiPriority w:val="0"/>
    <w:rPr>
      <w:b/>
      <w:bCs/>
      <w:sz w:val="49"/>
      <w:szCs w:val="49"/>
    </w:rPr>
  </w:style>
  <w:style w:type="character" w:customStyle="1" w:styleId="53">
    <w:name w:val="批注引用1"/>
    <w:uiPriority w:val="0"/>
    <w:rPr>
      <w:sz w:val="21"/>
      <w:szCs w:val="21"/>
    </w:rPr>
  </w:style>
  <w:style w:type="character" w:customStyle="1" w:styleId="54">
    <w:name w:val="批注文字 Char"/>
    <w:basedOn w:val="15"/>
    <w:link w:val="55"/>
    <w:uiPriority w:val="0"/>
    <w:rPr>
      <w:rFonts w:eastAsia="仿宋"/>
      <w:sz w:val="28"/>
      <w:szCs w:val="24"/>
    </w:rPr>
  </w:style>
  <w:style w:type="paragraph" w:customStyle="1" w:styleId="55">
    <w:name w:val="批注文字1"/>
    <w:basedOn w:val="1"/>
    <w:link w:val="54"/>
    <w:uiPriority w:val="0"/>
    <w:pPr>
      <w:jc w:val="left"/>
    </w:pPr>
    <w:rPr>
      <w:rFonts w:eastAsia="仿宋"/>
      <w:sz w:val="28"/>
      <w:szCs w:val="24"/>
    </w:rPr>
  </w:style>
  <w:style w:type="character" w:customStyle="1" w:styleId="56">
    <w:name w:val="已访问的超链接1"/>
    <w:uiPriority w:val="0"/>
    <w:rPr>
      <w:color w:val="800080"/>
      <w:u w:val="single"/>
    </w:rPr>
  </w:style>
  <w:style w:type="character" w:customStyle="1" w:styleId="57">
    <w:name w:val="脚注文本 Char"/>
    <w:basedOn w:val="15"/>
    <w:link w:val="58"/>
    <w:uiPriority w:val="0"/>
    <w:rPr>
      <w:rFonts w:eastAsia="仿宋"/>
      <w:sz w:val="18"/>
      <w:szCs w:val="18"/>
    </w:rPr>
  </w:style>
  <w:style w:type="paragraph" w:customStyle="1" w:styleId="58">
    <w:name w:val="脚注文本1"/>
    <w:basedOn w:val="1"/>
    <w:link w:val="57"/>
    <w:qFormat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9">
    <w:name w:val="脚注引用1"/>
    <w:uiPriority w:val="0"/>
    <w:rPr>
      <w:vertAlign w:val="superscript"/>
    </w:rPr>
  </w:style>
  <w:style w:type="character" w:customStyle="1" w:styleId="60">
    <w:name w:val="批注主题 Char"/>
    <w:basedOn w:val="54"/>
    <w:link w:val="61"/>
    <w:uiPriority w:val="0"/>
    <w:rPr>
      <w:rFonts w:eastAsia="仿宋"/>
      <w:b/>
      <w:bCs/>
      <w:sz w:val="28"/>
      <w:szCs w:val="24"/>
    </w:rPr>
  </w:style>
  <w:style w:type="paragraph" w:customStyle="1" w:styleId="61">
    <w:name w:val="批注主题1"/>
    <w:basedOn w:val="55"/>
    <w:next w:val="55"/>
    <w:link w:val="60"/>
    <w:uiPriority w:val="0"/>
    <w:rPr>
      <w:b/>
      <w:bCs/>
    </w:rPr>
  </w:style>
  <w:style w:type="paragraph" w:customStyle="1" w:styleId="62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3">
    <w:name w:val="段 Char"/>
    <w:link w:val="64"/>
    <w:uiPriority w:val="0"/>
    <w:rPr>
      <w:rFonts w:ascii="宋体"/>
    </w:rPr>
  </w:style>
  <w:style w:type="paragraph" w:customStyle="1" w:styleId="64">
    <w:name w:val="段"/>
    <w:link w:val="63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5">
    <w:name w:val="脚注文本 Char1"/>
    <w:basedOn w:val="15"/>
    <w:link w:val="13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6">
    <w:name w:val="目录 2 Char"/>
    <w:basedOn w:val="15"/>
    <w:link w:val="14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7">
    <w:name w:val="Char Char Char Char1"/>
    <w:basedOn w:val="8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8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9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71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2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3">
    <w:name w:val="日期2"/>
    <w:basedOn w:val="1"/>
    <w:next w:val="1"/>
    <w:qFormat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4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5">
    <w:name w:val="批注引用2"/>
    <w:qFormat/>
    <w:uiPriority w:val="0"/>
    <w:rPr>
      <w:sz w:val="21"/>
      <w:szCs w:val="21"/>
    </w:rPr>
  </w:style>
  <w:style w:type="paragraph" w:customStyle="1" w:styleId="76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7">
    <w:name w:val="已访问的超链接2"/>
    <w:uiPriority w:val="0"/>
    <w:rPr>
      <w:color w:val="800080"/>
      <w:u w:val="single"/>
    </w:rPr>
  </w:style>
  <w:style w:type="paragraph" w:customStyle="1" w:styleId="78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9">
    <w:name w:val="脚注引用2"/>
    <w:uiPriority w:val="0"/>
    <w:rPr>
      <w:vertAlign w:val="superscript"/>
    </w:rPr>
  </w:style>
  <w:style w:type="paragraph" w:customStyle="1" w:styleId="80">
    <w:name w:val="批注主题2"/>
    <w:basedOn w:val="76"/>
    <w:next w:val="76"/>
    <w:qFormat/>
    <w:uiPriority w:val="0"/>
    <w:rPr>
      <w:b/>
      <w:bCs/>
    </w:rPr>
  </w:style>
  <w:style w:type="paragraph" w:customStyle="1" w:styleId="81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82">
    <w:name w:val="批注框文本 Char1"/>
    <w:basedOn w:val="15"/>
    <w:link w:val="9"/>
    <w:semiHidden/>
    <w:qFormat/>
    <w:uiPriority w:val="99"/>
    <w:rPr>
      <w:sz w:val="18"/>
      <w:szCs w:val="18"/>
    </w:rPr>
  </w:style>
  <w:style w:type="character" w:customStyle="1" w:styleId="83">
    <w:name w:val="批注文字 Char1"/>
    <w:basedOn w:val="15"/>
    <w:link w:val="7"/>
    <w:semiHidden/>
    <w:uiPriority w:val="99"/>
  </w:style>
  <w:style w:type="character" w:customStyle="1" w:styleId="84">
    <w:name w:val="批注主题 Char1"/>
    <w:basedOn w:val="8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C3C37-F2BD-4856-A14B-38688BA4A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3151</Words>
  <Characters>17964</Characters>
  <Lines>149</Lines>
  <Paragraphs>42</Paragraphs>
  <TotalTime>1337</TotalTime>
  <ScaleCrop>false</ScaleCrop>
  <LinksUpToDate>false</LinksUpToDate>
  <CharactersWithSpaces>21073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2017-04-20T02:04:00Z</cp:lastPrinted>
  <dcterms:modified xsi:type="dcterms:W3CDTF">2018-06-27T08:29:27Z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