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100" w:afterLines="100"/>
        <w:jc w:val="center"/>
        <w:rPr>
          <w:rFonts w:ascii="Times New Roman" w:hAnsi="Times New Roman" w:eastAsia="黑体" w:cs="Times New Roman"/>
          <w:b/>
          <w:sz w:val="30"/>
          <w:szCs w:val="30"/>
        </w:rPr>
      </w:pPr>
      <w:bookmarkStart w:id="0" w:name="_Toc469067200"/>
      <w:bookmarkStart w:id="1" w:name="_Toc469236685"/>
      <w:bookmarkStart w:id="2" w:name="_Toc468872185"/>
    </w:p>
    <w:p>
      <w:pPr>
        <w:spacing w:beforeLines="100" w:afterLines="100"/>
        <w:jc w:val="center"/>
        <w:rPr>
          <w:rFonts w:ascii="Times New Roman" w:hAnsi="Times New Roman" w:eastAsia="黑体" w:cs="Times New Roman"/>
          <w:b/>
          <w:sz w:val="84"/>
          <w:szCs w:val="84"/>
        </w:rPr>
      </w:pPr>
      <w:r>
        <w:rPr>
          <w:rFonts w:ascii="Times New Roman" w:hAnsi="Times New Roman" w:eastAsia="黑体" w:cs="Times New Roman"/>
          <w:b/>
          <w:sz w:val="84"/>
          <w:szCs w:val="84"/>
        </w:rPr>
        <w:t>板杉镇土地利用总体规划（2006-2020年）</w:t>
      </w:r>
    </w:p>
    <w:p>
      <w:pPr>
        <w:spacing w:beforeLines="100" w:afterLines="100"/>
        <w:jc w:val="center"/>
        <w:rPr>
          <w:rFonts w:ascii="Times New Roman" w:hAnsi="Times New Roman" w:eastAsia="黑体" w:cs="Times New Roman"/>
          <w:b/>
          <w:sz w:val="84"/>
          <w:szCs w:val="84"/>
        </w:rPr>
      </w:pPr>
      <w:r>
        <w:rPr>
          <w:rFonts w:ascii="Times New Roman" w:hAnsi="Times New Roman" w:eastAsia="黑体" w:cs="Times New Roman"/>
          <w:b/>
          <w:sz w:val="84"/>
          <w:szCs w:val="84"/>
        </w:rPr>
        <w:t>2016年调整完善方案</w:t>
      </w:r>
    </w:p>
    <w:p>
      <w:pPr>
        <w:spacing w:beforeLines="100" w:afterLines="100"/>
        <w:jc w:val="center"/>
        <w:rPr>
          <w:rFonts w:ascii="Times New Roman" w:hAnsi="Times New Roman" w:cs="Times New Roman"/>
          <w:szCs w:val="28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spacing w:line="360" w:lineRule="auto"/>
        <w:jc w:val="center"/>
        <w:rPr>
          <w:rFonts w:ascii="Times New Roman" w:hAnsi="Times New Roman" w:eastAsia="黑体" w:cs="Times New Roman"/>
          <w:spacing w:val="87"/>
          <w:kern w:val="0"/>
          <w:sz w:val="48"/>
          <w:szCs w:val="44"/>
        </w:rPr>
      </w:pPr>
      <w:r>
        <w:rPr>
          <w:rFonts w:ascii="Times New Roman" w:hAnsi="Times New Roman" w:eastAsia="黑体" w:cs="Times New Roman"/>
          <w:spacing w:val="87"/>
          <w:kern w:val="0"/>
          <w:sz w:val="48"/>
          <w:szCs w:val="44"/>
          <w:fitText w:val="4402" w:id="0"/>
        </w:rPr>
        <w:t>板杉镇人民政</w:t>
      </w:r>
      <w:r>
        <w:rPr>
          <w:rFonts w:ascii="Times New Roman" w:hAnsi="Times New Roman" w:eastAsia="黑体" w:cs="Times New Roman"/>
          <w:spacing w:val="-1"/>
          <w:kern w:val="0"/>
          <w:sz w:val="48"/>
          <w:szCs w:val="44"/>
          <w:fitText w:val="4402" w:id="0"/>
        </w:rPr>
        <w:t>府</w:t>
      </w:r>
    </w:p>
    <w:p>
      <w:pPr>
        <w:spacing w:line="360" w:lineRule="auto"/>
        <w:jc w:val="center"/>
        <w:rPr>
          <w:rFonts w:ascii="Times New Roman" w:hAnsi="Times New Roman" w:eastAsia="黑体" w:cs="Times New Roman"/>
          <w:b/>
          <w:sz w:val="30"/>
          <w:szCs w:val="30"/>
        </w:rPr>
        <w:sectPr>
          <w:pgSz w:w="23814" w:h="16839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eastAsia="黑体" w:cs="Times New Roman"/>
          <w:spacing w:val="87"/>
          <w:kern w:val="0"/>
          <w:sz w:val="48"/>
          <w:szCs w:val="44"/>
          <w:fitText w:val="4402" w:id="1"/>
        </w:rPr>
        <w:t>二〇一七年四</w:t>
      </w:r>
      <w:r>
        <w:rPr>
          <w:rFonts w:ascii="Times New Roman" w:hAnsi="Times New Roman" w:eastAsia="黑体" w:cs="Times New Roman"/>
          <w:spacing w:val="-1"/>
          <w:kern w:val="0"/>
          <w:sz w:val="48"/>
          <w:szCs w:val="44"/>
          <w:fitText w:val="4402" w:id="1"/>
        </w:rPr>
        <w:t>月</w:t>
      </w:r>
    </w:p>
    <w:p>
      <w:pPr>
        <w:spacing w:line="360" w:lineRule="auto"/>
        <w:jc w:val="center"/>
        <w:rPr>
          <w:rFonts w:ascii="Times New Roman" w:hAnsi="Times New Roman" w:eastAsia="黑体" w:cs="Times New Roman"/>
          <w:b/>
          <w:sz w:val="30"/>
          <w:szCs w:val="30"/>
        </w:rPr>
      </w:pPr>
      <w:r>
        <w:rPr>
          <w:rFonts w:ascii="Times New Roman" w:hAnsi="Times New Roman" w:eastAsia="黑体" w:cs="Times New Roman"/>
          <w:b/>
          <w:sz w:val="30"/>
          <w:szCs w:val="30"/>
        </w:rPr>
        <w:t>目录</w:t>
      </w:r>
    </w:p>
    <w:sdt>
      <w:sdtPr>
        <w:rPr>
          <w:rFonts w:cs="Times New Roman" w:asciiTheme="minorHAnsi" w:hAnsiTheme="minorHAnsi" w:eastAsiaTheme="minorEastAsia"/>
          <w:sz w:val="21"/>
          <w:lang w:val="zh-CN"/>
        </w:rPr>
        <w:id w:val="2422766"/>
        <w:docPartObj>
          <w:docPartGallery w:val="Table of Contents"/>
          <w:docPartUnique/>
        </w:docPartObj>
      </w:sdtPr>
      <w:sdtEndPr>
        <w:rPr>
          <w:rFonts w:cs="Times New Roman" w:asciiTheme="minorHAnsi" w:hAnsiTheme="minorHAnsi" w:eastAsiaTheme="minorEastAsia"/>
          <w:sz w:val="21"/>
          <w:lang w:val="en-US"/>
        </w:rPr>
      </w:sdtEndPr>
      <w:sdtContent>
        <w:p>
          <w:pPr>
            <w:pStyle w:val="10"/>
            <w:tabs>
              <w:tab w:val="right" w:leader="dot" w:pos="9884"/>
            </w:tabs>
            <w:rPr>
              <w:rFonts w:cs="Times New Roman" w:eastAsiaTheme="minorEastAsia"/>
              <w:sz w:val="21"/>
            </w:rPr>
          </w:pPr>
          <w:r>
            <w:rPr>
              <w:rFonts w:cs="Times New Roman"/>
            </w:rPr>
            <w:fldChar w:fldCharType="begin"/>
          </w:r>
          <w:r>
            <w:rPr>
              <w:rFonts w:cs="Times New Roman"/>
            </w:rPr>
            <w:instrText xml:space="preserve"> TOC \o "1-3" \h \z \u </w:instrText>
          </w:r>
          <w:r>
            <w:rPr>
              <w:rFonts w:cs="Times New Roman"/>
            </w:rPr>
            <w:fldChar w:fldCharType="separate"/>
          </w:r>
          <w:r>
            <w:fldChar w:fldCharType="begin"/>
          </w:r>
          <w:r>
            <w:instrText xml:space="preserve"> HYPERLINK \l "_Toc485909014" </w:instrText>
          </w:r>
          <w:r>
            <w:fldChar w:fldCharType="separate"/>
          </w:r>
          <w:r>
            <w:rPr>
              <w:rStyle w:val="16"/>
              <w:rFonts w:cs="Times New Roman"/>
              <w:kern w:val="0"/>
            </w:rPr>
            <w:t>一、基本情况</w:t>
          </w:r>
          <w:r>
            <w:rPr>
              <w:rFonts w:cs="Times New Roman"/>
            </w:rPr>
            <w:tab/>
          </w:r>
          <w:r>
            <w:rPr>
              <w:rFonts w:cs="Times New Roman"/>
            </w:rPr>
            <w:fldChar w:fldCharType="begin"/>
          </w:r>
          <w:r>
            <w:rPr>
              <w:rFonts w:cs="Times New Roman"/>
            </w:rPr>
            <w:instrText xml:space="preserve"> PAGEREF _Toc485909014 \h </w:instrText>
          </w:r>
          <w:r>
            <w:rPr>
              <w:rFonts w:cs="Times New Roman"/>
            </w:rPr>
            <w:fldChar w:fldCharType="separate"/>
          </w:r>
          <w:r>
            <w:rPr>
              <w:rFonts w:cs="Times New Roman"/>
            </w:rPr>
            <w:t>1</w:t>
          </w:r>
          <w:r>
            <w:rPr>
              <w:rFonts w:cs="Times New Roman"/>
            </w:rPr>
            <w:fldChar w:fldCharType="end"/>
          </w:r>
          <w:r>
            <w:rPr>
              <w:rFonts w:cs="Times New Roman"/>
            </w:rPr>
            <w:fldChar w:fldCharType="end"/>
          </w:r>
        </w:p>
        <w:p>
          <w:pPr>
            <w:pStyle w:val="12"/>
            <w:tabs>
              <w:tab w:val="right" w:leader="dot" w:pos="9884"/>
            </w:tabs>
            <w:ind w:left="420"/>
            <w:rPr>
              <w:rFonts w:eastAsiaTheme="minorEastAsia"/>
              <w:kern w:val="2"/>
              <w:sz w:val="21"/>
              <w:szCs w:val="22"/>
            </w:rPr>
          </w:pPr>
          <w:r>
            <w:fldChar w:fldCharType="begin"/>
          </w:r>
          <w:r>
            <w:instrText xml:space="preserve"> HYPERLINK \l "_Toc485909015" </w:instrText>
          </w:r>
          <w:r>
            <w:fldChar w:fldCharType="separate"/>
          </w:r>
          <w:r>
            <w:rPr>
              <w:rStyle w:val="16"/>
            </w:rPr>
            <w:t>（一）行政区划调整</w:t>
          </w:r>
          <w:r>
            <w:tab/>
          </w:r>
          <w:r>
            <w:fldChar w:fldCharType="begin"/>
          </w:r>
          <w:r>
            <w:instrText xml:space="preserve"> PAGEREF _Toc485909015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12"/>
            <w:tabs>
              <w:tab w:val="right" w:leader="dot" w:pos="9884"/>
            </w:tabs>
            <w:ind w:left="420"/>
            <w:rPr>
              <w:rFonts w:eastAsiaTheme="minorEastAsia"/>
              <w:kern w:val="2"/>
              <w:sz w:val="21"/>
              <w:szCs w:val="22"/>
            </w:rPr>
          </w:pPr>
          <w:r>
            <w:fldChar w:fldCharType="begin"/>
          </w:r>
          <w:r>
            <w:instrText xml:space="preserve"> HYPERLINK \l "_Toc485909016" </w:instrText>
          </w:r>
          <w:r>
            <w:fldChar w:fldCharType="separate"/>
          </w:r>
          <w:r>
            <w:rPr>
              <w:rStyle w:val="16"/>
            </w:rPr>
            <w:t>（二）地理区位</w:t>
          </w:r>
          <w:r>
            <w:tab/>
          </w:r>
          <w:r>
            <w:fldChar w:fldCharType="begin"/>
          </w:r>
          <w:r>
            <w:instrText xml:space="preserve"> PAGEREF _Toc485909016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12"/>
            <w:tabs>
              <w:tab w:val="right" w:leader="dot" w:pos="9884"/>
            </w:tabs>
            <w:ind w:left="420"/>
            <w:rPr>
              <w:rFonts w:eastAsiaTheme="minorEastAsia"/>
              <w:kern w:val="2"/>
              <w:sz w:val="21"/>
              <w:szCs w:val="22"/>
            </w:rPr>
          </w:pPr>
          <w:r>
            <w:fldChar w:fldCharType="begin"/>
          </w:r>
          <w:r>
            <w:instrText xml:space="preserve"> HYPERLINK \l "_Toc485909017" </w:instrText>
          </w:r>
          <w:r>
            <w:fldChar w:fldCharType="separate"/>
          </w:r>
          <w:r>
            <w:rPr>
              <w:rStyle w:val="16"/>
            </w:rPr>
            <w:t>（三）经济发展</w:t>
          </w:r>
          <w:r>
            <w:tab/>
          </w:r>
          <w:r>
            <w:fldChar w:fldCharType="begin"/>
          </w:r>
          <w:r>
            <w:instrText xml:space="preserve"> PAGEREF _Toc485909017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12"/>
            <w:tabs>
              <w:tab w:val="right" w:leader="dot" w:pos="9884"/>
            </w:tabs>
            <w:ind w:left="420"/>
            <w:rPr>
              <w:rFonts w:eastAsiaTheme="minorEastAsia"/>
              <w:kern w:val="2"/>
              <w:sz w:val="21"/>
              <w:szCs w:val="22"/>
            </w:rPr>
          </w:pPr>
          <w:r>
            <w:fldChar w:fldCharType="begin"/>
          </w:r>
          <w:r>
            <w:instrText xml:space="preserve"> HYPERLINK \l "_Toc485909018" </w:instrText>
          </w:r>
          <w:r>
            <w:fldChar w:fldCharType="separate"/>
          </w:r>
          <w:r>
            <w:rPr>
              <w:rStyle w:val="16"/>
            </w:rPr>
            <w:t>（四）土地利用现状</w:t>
          </w:r>
          <w:r>
            <w:tab/>
          </w:r>
          <w:r>
            <w:fldChar w:fldCharType="begin"/>
          </w:r>
          <w:r>
            <w:instrText xml:space="preserve"> PAGEREF _Toc485909018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9884"/>
            </w:tabs>
            <w:rPr>
              <w:rFonts w:cs="Times New Roman" w:eastAsiaTheme="minorEastAsia"/>
              <w:sz w:val="21"/>
            </w:rPr>
          </w:pPr>
          <w:r>
            <w:fldChar w:fldCharType="begin"/>
          </w:r>
          <w:r>
            <w:instrText xml:space="preserve"> HYPERLINK \l "_Toc485909019" </w:instrText>
          </w:r>
          <w:r>
            <w:fldChar w:fldCharType="separate"/>
          </w:r>
          <w:r>
            <w:rPr>
              <w:rStyle w:val="16"/>
              <w:rFonts w:cs="Times New Roman"/>
              <w:kern w:val="0"/>
            </w:rPr>
            <w:t>二、规划修改期限与范围</w:t>
          </w:r>
          <w:r>
            <w:rPr>
              <w:rFonts w:cs="Times New Roman"/>
            </w:rPr>
            <w:tab/>
          </w:r>
          <w:r>
            <w:rPr>
              <w:rFonts w:cs="Times New Roman"/>
            </w:rPr>
            <w:fldChar w:fldCharType="begin"/>
          </w:r>
          <w:r>
            <w:rPr>
              <w:rFonts w:cs="Times New Roman"/>
            </w:rPr>
            <w:instrText xml:space="preserve"> PAGEREF _Toc485909019 \h </w:instrText>
          </w:r>
          <w:r>
            <w:rPr>
              <w:rFonts w:cs="Times New Roman"/>
            </w:rPr>
            <w:fldChar w:fldCharType="separate"/>
          </w:r>
          <w:r>
            <w:rPr>
              <w:rFonts w:cs="Times New Roman"/>
            </w:rPr>
            <w:t>1</w:t>
          </w:r>
          <w:r>
            <w:rPr>
              <w:rFonts w:cs="Times New Roman"/>
            </w:rPr>
            <w:fldChar w:fldCharType="end"/>
          </w:r>
          <w:r>
            <w:rPr>
              <w:rFonts w:cs="Times New Roman"/>
            </w:rPr>
            <w:fldChar w:fldCharType="end"/>
          </w:r>
        </w:p>
        <w:p>
          <w:pPr>
            <w:pStyle w:val="10"/>
            <w:tabs>
              <w:tab w:val="right" w:leader="dot" w:pos="9884"/>
            </w:tabs>
            <w:rPr>
              <w:rFonts w:cs="Times New Roman" w:eastAsiaTheme="minorEastAsia"/>
              <w:sz w:val="21"/>
            </w:rPr>
          </w:pPr>
          <w:r>
            <w:fldChar w:fldCharType="begin"/>
          </w:r>
          <w:r>
            <w:instrText xml:space="preserve"> HYPERLINK \l "_Toc485909020" </w:instrText>
          </w:r>
          <w:r>
            <w:fldChar w:fldCharType="separate"/>
          </w:r>
          <w:r>
            <w:rPr>
              <w:rStyle w:val="16"/>
              <w:rFonts w:cs="Times New Roman"/>
              <w:kern w:val="0"/>
            </w:rPr>
            <w:t>三、土地利用规划目标</w:t>
          </w:r>
          <w:r>
            <w:rPr>
              <w:rFonts w:cs="Times New Roman"/>
            </w:rPr>
            <w:tab/>
          </w:r>
          <w:r>
            <w:rPr>
              <w:rFonts w:cs="Times New Roman"/>
            </w:rPr>
            <w:fldChar w:fldCharType="begin"/>
          </w:r>
          <w:r>
            <w:rPr>
              <w:rFonts w:cs="Times New Roman"/>
            </w:rPr>
            <w:instrText xml:space="preserve"> PAGEREF _Toc485909020 \h </w:instrText>
          </w:r>
          <w:r>
            <w:rPr>
              <w:rFonts w:cs="Times New Roman"/>
            </w:rPr>
            <w:fldChar w:fldCharType="separate"/>
          </w:r>
          <w:r>
            <w:rPr>
              <w:rFonts w:cs="Times New Roman"/>
            </w:rPr>
            <w:t>1</w:t>
          </w:r>
          <w:r>
            <w:rPr>
              <w:rFonts w:cs="Times New Roman"/>
            </w:rPr>
            <w:fldChar w:fldCharType="end"/>
          </w:r>
          <w:r>
            <w:rPr>
              <w:rFonts w:cs="Times New Roman"/>
            </w:rPr>
            <w:fldChar w:fldCharType="end"/>
          </w:r>
        </w:p>
        <w:p>
          <w:pPr>
            <w:pStyle w:val="10"/>
            <w:tabs>
              <w:tab w:val="right" w:leader="dot" w:pos="9884"/>
            </w:tabs>
            <w:rPr>
              <w:rFonts w:cs="Times New Roman" w:eastAsiaTheme="minorEastAsia"/>
              <w:sz w:val="21"/>
            </w:rPr>
          </w:pPr>
          <w:r>
            <w:fldChar w:fldCharType="begin"/>
          </w:r>
          <w:r>
            <w:instrText xml:space="preserve"> HYPERLINK \l "_Toc485909021" </w:instrText>
          </w:r>
          <w:r>
            <w:fldChar w:fldCharType="separate"/>
          </w:r>
          <w:r>
            <w:rPr>
              <w:rStyle w:val="16"/>
              <w:rFonts w:cs="Times New Roman"/>
              <w:kern w:val="0"/>
            </w:rPr>
            <w:t>四、永久基本农田划定情况</w:t>
          </w:r>
          <w:r>
            <w:rPr>
              <w:rFonts w:cs="Times New Roman"/>
            </w:rPr>
            <w:tab/>
          </w:r>
          <w:r>
            <w:rPr>
              <w:rFonts w:cs="Times New Roman"/>
            </w:rPr>
            <w:fldChar w:fldCharType="begin"/>
          </w:r>
          <w:r>
            <w:rPr>
              <w:rFonts w:cs="Times New Roman"/>
            </w:rPr>
            <w:instrText xml:space="preserve"> PAGEREF _Toc485909021 \h </w:instrText>
          </w:r>
          <w:r>
            <w:rPr>
              <w:rFonts w:cs="Times New Roman"/>
            </w:rPr>
            <w:fldChar w:fldCharType="separate"/>
          </w:r>
          <w:r>
            <w:rPr>
              <w:rFonts w:cs="Times New Roman"/>
            </w:rPr>
            <w:t>1</w:t>
          </w:r>
          <w:r>
            <w:rPr>
              <w:rFonts w:cs="Times New Roman"/>
            </w:rPr>
            <w:fldChar w:fldCharType="end"/>
          </w:r>
          <w:r>
            <w:rPr>
              <w:rFonts w:cs="Times New Roman"/>
            </w:rPr>
            <w:fldChar w:fldCharType="end"/>
          </w:r>
        </w:p>
        <w:p>
          <w:pPr>
            <w:pStyle w:val="12"/>
            <w:tabs>
              <w:tab w:val="right" w:leader="dot" w:pos="9884"/>
            </w:tabs>
            <w:ind w:left="420"/>
            <w:rPr>
              <w:rFonts w:eastAsiaTheme="minorEastAsia"/>
              <w:kern w:val="2"/>
              <w:sz w:val="21"/>
              <w:szCs w:val="22"/>
            </w:rPr>
          </w:pPr>
          <w:r>
            <w:fldChar w:fldCharType="begin"/>
          </w:r>
          <w:r>
            <w:instrText xml:space="preserve"> HYPERLINK \l "_Toc485909022" </w:instrText>
          </w:r>
          <w:r>
            <w:fldChar w:fldCharType="separate"/>
          </w:r>
          <w:r>
            <w:rPr>
              <w:rStyle w:val="16"/>
            </w:rPr>
            <w:t>（一）调出情况</w:t>
          </w:r>
          <w:r>
            <w:tab/>
          </w:r>
          <w:r>
            <w:fldChar w:fldCharType="begin"/>
          </w:r>
          <w:r>
            <w:instrText xml:space="preserve"> PAGEREF _Toc485909022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12"/>
            <w:tabs>
              <w:tab w:val="right" w:leader="dot" w:pos="9884"/>
            </w:tabs>
            <w:ind w:left="420"/>
            <w:rPr>
              <w:rFonts w:eastAsiaTheme="minorEastAsia"/>
              <w:kern w:val="2"/>
              <w:sz w:val="21"/>
              <w:szCs w:val="22"/>
            </w:rPr>
          </w:pPr>
          <w:r>
            <w:fldChar w:fldCharType="begin"/>
          </w:r>
          <w:r>
            <w:instrText xml:space="preserve"> HYPERLINK \l "_Toc485909023" </w:instrText>
          </w:r>
          <w:r>
            <w:fldChar w:fldCharType="separate"/>
          </w:r>
          <w:r>
            <w:rPr>
              <w:rStyle w:val="16"/>
            </w:rPr>
            <w:t>（二）补划情况</w:t>
          </w:r>
          <w:r>
            <w:tab/>
          </w:r>
          <w:r>
            <w:fldChar w:fldCharType="begin"/>
          </w:r>
          <w:r>
            <w:instrText xml:space="preserve"> PAGEREF _Toc485909023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9884"/>
            </w:tabs>
            <w:rPr>
              <w:rFonts w:cs="Times New Roman" w:eastAsiaTheme="minorEastAsia"/>
              <w:sz w:val="21"/>
            </w:rPr>
          </w:pPr>
          <w:r>
            <w:fldChar w:fldCharType="begin"/>
          </w:r>
          <w:r>
            <w:instrText xml:space="preserve"> HYPERLINK \l "_Toc485909024" </w:instrText>
          </w:r>
          <w:r>
            <w:fldChar w:fldCharType="separate"/>
          </w:r>
          <w:r>
            <w:rPr>
              <w:rStyle w:val="16"/>
              <w:rFonts w:cs="Times New Roman"/>
              <w:kern w:val="0"/>
            </w:rPr>
            <w:t>五、建设用地规模与布局调整</w:t>
          </w:r>
          <w:r>
            <w:rPr>
              <w:rFonts w:cs="Times New Roman"/>
            </w:rPr>
            <w:tab/>
          </w:r>
          <w:r>
            <w:rPr>
              <w:rFonts w:cs="Times New Roman"/>
            </w:rPr>
            <w:fldChar w:fldCharType="begin"/>
          </w:r>
          <w:r>
            <w:rPr>
              <w:rFonts w:cs="Times New Roman"/>
            </w:rPr>
            <w:instrText xml:space="preserve"> PAGEREF _Toc485909024 \h </w:instrText>
          </w:r>
          <w:r>
            <w:rPr>
              <w:rFonts w:cs="Times New Roman"/>
            </w:rPr>
            <w:fldChar w:fldCharType="separate"/>
          </w:r>
          <w:r>
            <w:rPr>
              <w:rFonts w:cs="Times New Roman"/>
            </w:rPr>
            <w:t>2</w:t>
          </w:r>
          <w:r>
            <w:rPr>
              <w:rFonts w:cs="Times New Roman"/>
            </w:rPr>
            <w:fldChar w:fldCharType="end"/>
          </w:r>
          <w:r>
            <w:rPr>
              <w:rFonts w:cs="Times New Roman"/>
            </w:rPr>
            <w:fldChar w:fldCharType="end"/>
          </w:r>
        </w:p>
        <w:p>
          <w:pPr>
            <w:pStyle w:val="12"/>
            <w:tabs>
              <w:tab w:val="right" w:leader="dot" w:pos="9884"/>
            </w:tabs>
            <w:ind w:left="420"/>
            <w:rPr>
              <w:rFonts w:eastAsiaTheme="minorEastAsia"/>
              <w:kern w:val="2"/>
              <w:sz w:val="21"/>
              <w:szCs w:val="22"/>
            </w:rPr>
          </w:pPr>
          <w:r>
            <w:fldChar w:fldCharType="begin"/>
          </w:r>
          <w:r>
            <w:instrText xml:space="preserve"> HYPERLINK \l "_Toc485909025" </w:instrText>
          </w:r>
          <w:r>
            <w:fldChar w:fldCharType="separate"/>
          </w:r>
          <w:r>
            <w:rPr>
              <w:rStyle w:val="16"/>
            </w:rPr>
            <w:t>（一）城镇用地</w:t>
          </w:r>
          <w:r>
            <w:tab/>
          </w:r>
          <w:r>
            <w:fldChar w:fldCharType="begin"/>
          </w:r>
          <w:r>
            <w:instrText xml:space="preserve"> PAGEREF _Toc485909025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12"/>
            <w:tabs>
              <w:tab w:val="right" w:leader="dot" w:pos="9884"/>
            </w:tabs>
            <w:ind w:left="420"/>
            <w:rPr>
              <w:rFonts w:eastAsiaTheme="minorEastAsia"/>
              <w:kern w:val="2"/>
              <w:sz w:val="21"/>
              <w:szCs w:val="22"/>
            </w:rPr>
          </w:pPr>
          <w:r>
            <w:fldChar w:fldCharType="begin"/>
          </w:r>
          <w:r>
            <w:instrText xml:space="preserve"> HYPERLINK \l "_Toc485909027" </w:instrText>
          </w:r>
          <w:r>
            <w:fldChar w:fldCharType="separate"/>
          </w:r>
          <w:r>
            <w:rPr>
              <w:rStyle w:val="16"/>
            </w:rPr>
            <w:t>（二）农村居民点用地</w:t>
          </w:r>
          <w:r>
            <w:tab/>
          </w:r>
          <w:r>
            <w:fldChar w:fldCharType="begin"/>
          </w:r>
          <w:r>
            <w:instrText xml:space="preserve"> PAGEREF _Toc485909027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12"/>
            <w:tabs>
              <w:tab w:val="right" w:leader="dot" w:pos="9884"/>
            </w:tabs>
            <w:ind w:left="420"/>
            <w:rPr>
              <w:rFonts w:eastAsiaTheme="minorEastAsia"/>
              <w:kern w:val="2"/>
              <w:sz w:val="21"/>
              <w:szCs w:val="22"/>
            </w:rPr>
          </w:pPr>
          <w:r>
            <w:fldChar w:fldCharType="begin"/>
          </w:r>
          <w:r>
            <w:instrText xml:space="preserve"> HYPERLINK \l "_Toc485909028" </w:instrText>
          </w:r>
          <w:r>
            <w:fldChar w:fldCharType="separate"/>
          </w:r>
          <w:r>
            <w:rPr>
              <w:rStyle w:val="16"/>
            </w:rPr>
            <w:t>（三）采矿及其他独立建设用地</w:t>
          </w:r>
          <w:r>
            <w:tab/>
          </w:r>
          <w:r>
            <w:fldChar w:fldCharType="begin"/>
          </w:r>
          <w:r>
            <w:instrText xml:space="preserve"> PAGEREF _Toc485909028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12"/>
            <w:tabs>
              <w:tab w:val="right" w:leader="dot" w:pos="9884"/>
            </w:tabs>
            <w:ind w:left="420"/>
            <w:rPr>
              <w:rFonts w:eastAsiaTheme="minorEastAsia"/>
              <w:kern w:val="2"/>
              <w:sz w:val="21"/>
              <w:szCs w:val="22"/>
            </w:rPr>
          </w:pPr>
          <w:r>
            <w:fldChar w:fldCharType="begin"/>
          </w:r>
          <w:r>
            <w:instrText xml:space="preserve"> HYPERLINK \l "_Toc485909029" </w:instrText>
          </w:r>
          <w:r>
            <w:fldChar w:fldCharType="separate"/>
          </w:r>
          <w:r>
            <w:rPr>
              <w:rStyle w:val="16"/>
            </w:rPr>
            <w:t>（四）交通水利用地</w:t>
          </w:r>
          <w:r>
            <w:tab/>
          </w:r>
          <w:r>
            <w:fldChar w:fldCharType="begin"/>
          </w:r>
          <w:r>
            <w:instrText xml:space="preserve"> PAGEREF _Toc485909029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12"/>
            <w:tabs>
              <w:tab w:val="right" w:leader="dot" w:pos="9884"/>
            </w:tabs>
            <w:ind w:left="420"/>
            <w:rPr>
              <w:rFonts w:eastAsiaTheme="minorEastAsia"/>
              <w:kern w:val="2"/>
              <w:sz w:val="21"/>
              <w:szCs w:val="22"/>
            </w:rPr>
          </w:pPr>
          <w:r>
            <w:fldChar w:fldCharType="begin"/>
          </w:r>
          <w:r>
            <w:instrText xml:space="preserve"> HYPERLINK \l "_Toc485909030" </w:instrText>
          </w:r>
          <w:r>
            <w:fldChar w:fldCharType="separate"/>
          </w:r>
          <w:r>
            <w:rPr>
              <w:rStyle w:val="16"/>
            </w:rPr>
            <w:t>（五）其他建设用地</w:t>
          </w:r>
          <w:r>
            <w:tab/>
          </w:r>
          <w:r>
            <w:fldChar w:fldCharType="begin"/>
          </w:r>
          <w:r>
            <w:instrText xml:space="preserve"> PAGEREF _Toc485909030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9884"/>
            </w:tabs>
            <w:rPr>
              <w:rFonts w:cs="Times New Roman" w:eastAsiaTheme="minorEastAsia"/>
              <w:sz w:val="21"/>
            </w:rPr>
          </w:pPr>
          <w:r>
            <w:fldChar w:fldCharType="begin"/>
          </w:r>
          <w:r>
            <w:instrText xml:space="preserve"> HYPERLINK \l "_Toc485909031" </w:instrText>
          </w:r>
          <w:r>
            <w:fldChar w:fldCharType="separate"/>
          </w:r>
          <w:r>
            <w:rPr>
              <w:rStyle w:val="16"/>
              <w:rFonts w:cs="Times New Roman"/>
              <w:kern w:val="0"/>
            </w:rPr>
            <w:t>六、土地利用分区调整情况</w:t>
          </w:r>
          <w:r>
            <w:rPr>
              <w:rFonts w:cs="Times New Roman"/>
            </w:rPr>
            <w:tab/>
          </w:r>
          <w:r>
            <w:rPr>
              <w:rFonts w:cs="Times New Roman"/>
            </w:rPr>
            <w:fldChar w:fldCharType="begin"/>
          </w:r>
          <w:r>
            <w:rPr>
              <w:rFonts w:cs="Times New Roman"/>
            </w:rPr>
            <w:instrText xml:space="preserve"> PAGEREF _Toc485909031 \h </w:instrText>
          </w:r>
          <w:r>
            <w:rPr>
              <w:rFonts w:cs="Times New Roman"/>
            </w:rPr>
            <w:fldChar w:fldCharType="separate"/>
          </w:r>
          <w:r>
            <w:rPr>
              <w:rFonts w:cs="Times New Roman"/>
            </w:rPr>
            <w:t>3</w:t>
          </w:r>
          <w:r>
            <w:rPr>
              <w:rFonts w:cs="Times New Roman"/>
            </w:rPr>
            <w:fldChar w:fldCharType="end"/>
          </w:r>
          <w:r>
            <w:rPr>
              <w:rFonts w:cs="Times New Roman"/>
            </w:rPr>
            <w:fldChar w:fldCharType="end"/>
          </w:r>
        </w:p>
        <w:p>
          <w:pPr>
            <w:pStyle w:val="12"/>
            <w:tabs>
              <w:tab w:val="right" w:leader="dot" w:pos="9884"/>
            </w:tabs>
            <w:ind w:left="420"/>
            <w:rPr>
              <w:rFonts w:eastAsiaTheme="minorEastAsia"/>
              <w:kern w:val="2"/>
              <w:sz w:val="21"/>
              <w:szCs w:val="22"/>
            </w:rPr>
          </w:pPr>
          <w:r>
            <w:fldChar w:fldCharType="begin"/>
          </w:r>
          <w:r>
            <w:instrText xml:space="preserve"> HYPERLINK \l "_Toc485909032" </w:instrText>
          </w:r>
          <w:r>
            <w:fldChar w:fldCharType="separate"/>
          </w:r>
          <w:r>
            <w:rPr>
              <w:rStyle w:val="16"/>
            </w:rPr>
            <w:t>（一）土地用途分区修改</w:t>
          </w:r>
          <w:r>
            <w:tab/>
          </w:r>
          <w:r>
            <w:fldChar w:fldCharType="begin"/>
          </w:r>
          <w:r>
            <w:instrText xml:space="preserve"> PAGEREF _Toc485909032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12"/>
            <w:tabs>
              <w:tab w:val="right" w:leader="dot" w:pos="9884"/>
            </w:tabs>
            <w:ind w:left="420"/>
            <w:rPr>
              <w:rFonts w:eastAsiaTheme="minorEastAsia"/>
              <w:kern w:val="2"/>
              <w:sz w:val="21"/>
              <w:szCs w:val="22"/>
            </w:rPr>
          </w:pPr>
          <w:r>
            <w:fldChar w:fldCharType="begin"/>
          </w:r>
          <w:r>
            <w:instrText xml:space="preserve"> HYPERLINK \l "_Toc485909033" </w:instrText>
          </w:r>
          <w:r>
            <w:fldChar w:fldCharType="separate"/>
          </w:r>
          <w:r>
            <w:rPr>
              <w:rStyle w:val="16"/>
            </w:rPr>
            <w:t>（二）建设用地管制分区修改</w:t>
          </w:r>
          <w:r>
            <w:tab/>
          </w:r>
          <w:r>
            <w:fldChar w:fldCharType="begin"/>
          </w:r>
          <w:r>
            <w:instrText xml:space="preserve"> PAGEREF _Toc485909033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9884"/>
            </w:tabs>
            <w:rPr>
              <w:rFonts w:cs="Times New Roman" w:eastAsiaTheme="minorEastAsia"/>
              <w:sz w:val="21"/>
            </w:rPr>
          </w:pPr>
          <w:r>
            <w:fldChar w:fldCharType="begin"/>
          </w:r>
          <w:r>
            <w:instrText xml:space="preserve"> HYPERLINK \l "_Toc485909034" </w:instrText>
          </w:r>
          <w:r>
            <w:fldChar w:fldCharType="separate"/>
          </w:r>
          <w:r>
            <w:rPr>
              <w:rStyle w:val="16"/>
              <w:rFonts w:cs="Times New Roman"/>
              <w:kern w:val="0"/>
            </w:rPr>
            <w:t>附表</w:t>
          </w:r>
          <w:r>
            <w:rPr>
              <w:rFonts w:cs="Times New Roman"/>
            </w:rPr>
            <w:tab/>
          </w:r>
          <w:r>
            <w:rPr>
              <w:rFonts w:cs="Times New Roman"/>
            </w:rPr>
            <w:fldChar w:fldCharType="begin"/>
          </w:r>
          <w:r>
            <w:rPr>
              <w:rFonts w:cs="Times New Roman"/>
            </w:rPr>
            <w:instrText xml:space="preserve"> PAGEREF _Toc485909034 \h </w:instrText>
          </w:r>
          <w:r>
            <w:rPr>
              <w:rFonts w:cs="Times New Roman"/>
            </w:rPr>
            <w:fldChar w:fldCharType="separate"/>
          </w:r>
          <w:r>
            <w:rPr>
              <w:rFonts w:cs="Times New Roman"/>
            </w:rPr>
            <w:t>3</w:t>
          </w:r>
          <w:r>
            <w:rPr>
              <w:rFonts w:cs="Times New Roman"/>
            </w:rPr>
            <w:fldChar w:fldCharType="end"/>
          </w:r>
          <w:r>
            <w:rPr>
              <w:rFonts w:cs="Times New Roman"/>
            </w:rPr>
            <w:fldChar w:fldCharType="end"/>
          </w:r>
        </w:p>
        <w:p>
          <w:pPr>
            <w:pStyle w:val="12"/>
            <w:tabs>
              <w:tab w:val="right" w:leader="dot" w:pos="9884"/>
            </w:tabs>
            <w:ind w:left="420"/>
            <w:rPr>
              <w:rFonts w:eastAsiaTheme="minorEastAsia"/>
              <w:kern w:val="2"/>
              <w:sz w:val="21"/>
              <w:szCs w:val="22"/>
            </w:rPr>
          </w:pPr>
          <w:r>
            <w:fldChar w:fldCharType="begin"/>
          </w:r>
          <w:r>
            <w:instrText xml:space="preserve"> HYPERLINK \l "_Toc485909035" </w:instrText>
          </w:r>
          <w:r>
            <w:fldChar w:fldCharType="separate"/>
          </w:r>
          <w:r>
            <w:rPr>
              <w:rStyle w:val="16"/>
            </w:rPr>
            <w:t>附表1  板杉镇土地利用现状表（2014年）</w:t>
          </w:r>
          <w:r>
            <w:tab/>
          </w:r>
          <w:r>
            <w:fldChar w:fldCharType="begin"/>
          </w:r>
          <w:r>
            <w:instrText xml:space="preserve"> PAGEREF _Toc485909035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12"/>
            <w:tabs>
              <w:tab w:val="right" w:leader="dot" w:pos="9884"/>
            </w:tabs>
            <w:ind w:left="420"/>
            <w:rPr>
              <w:rFonts w:eastAsiaTheme="minorEastAsia"/>
              <w:kern w:val="2"/>
              <w:sz w:val="21"/>
              <w:szCs w:val="22"/>
            </w:rPr>
          </w:pPr>
          <w:r>
            <w:fldChar w:fldCharType="begin"/>
          </w:r>
          <w:r>
            <w:instrText xml:space="preserve"> HYPERLINK \l "_Toc485909036" </w:instrText>
          </w:r>
          <w:r>
            <w:fldChar w:fldCharType="separate"/>
          </w:r>
          <w:r>
            <w:rPr>
              <w:rStyle w:val="16"/>
            </w:rPr>
            <w:t>附表2  板杉镇土地利用结构调整表</w:t>
          </w:r>
          <w:r>
            <w:tab/>
          </w:r>
          <w:r>
            <w:fldChar w:fldCharType="begin"/>
          </w:r>
          <w:r>
            <w:instrText xml:space="preserve"> PAGEREF _Toc485909036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12"/>
            <w:tabs>
              <w:tab w:val="right" w:leader="dot" w:pos="9884"/>
            </w:tabs>
            <w:ind w:left="420"/>
            <w:rPr>
              <w:rFonts w:eastAsiaTheme="minorEastAsia"/>
              <w:kern w:val="2"/>
              <w:sz w:val="21"/>
              <w:szCs w:val="22"/>
            </w:rPr>
          </w:pPr>
          <w:r>
            <w:fldChar w:fldCharType="begin"/>
          </w:r>
          <w:r>
            <w:instrText xml:space="preserve"> HYPERLINK \l "_Toc485909037" </w:instrText>
          </w:r>
          <w:r>
            <w:fldChar w:fldCharType="separate"/>
          </w:r>
          <w:r>
            <w:rPr>
              <w:rStyle w:val="16"/>
            </w:rPr>
            <w:t>附表3  板杉镇土地利用规划目标调整表</w:t>
          </w:r>
          <w:r>
            <w:tab/>
          </w:r>
          <w:r>
            <w:fldChar w:fldCharType="begin"/>
          </w:r>
          <w:r>
            <w:instrText xml:space="preserve"> PAGEREF _Toc485909037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12"/>
            <w:tabs>
              <w:tab w:val="right" w:leader="dot" w:pos="9884"/>
            </w:tabs>
            <w:ind w:left="420"/>
            <w:rPr>
              <w:rFonts w:eastAsiaTheme="minorEastAsia"/>
              <w:kern w:val="2"/>
              <w:sz w:val="21"/>
              <w:szCs w:val="22"/>
            </w:rPr>
          </w:pPr>
          <w:r>
            <w:fldChar w:fldCharType="begin"/>
          </w:r>
          <w:r>
            <w:instrText xml:space="preserve"> HYPERLINK \l "_Toc485909038" </w:instrText>
          </w:r>
          <w:r>
            <w:fldChar w:fldCharType="separate"/>
          </w:r>
          <w:r>
            <w:rPr>
              <w:rStyle w:val="16"/>
            </w:rPr>
            <w:t>附表4  板杉镇落实上一级土地利用规划指标情况表</w:t>
          </w:r>
          <w:r>
            <w:tab/>
          </w:r>
          <w:r>
            <w:fldChar w:fldCharType="begin"/>
          </w:r>
          <w:r>
            <w:instrText xml:space="preserve"> PAGEREF _Toc485909038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12"/>
            <w:tabs>
              <w:tab w:val="right" w:leader="dot" w:pos="9884"/>
            </w:tabs>
            <w:ind w:left="420"/>
            <w:rPr>
              <w:rFonts w:eastAsiaTheme="minorEastAsia"/>
              <w:kern w:val="2"/>
              <w:sz w:val="21"/>
              <w:szCs w:val="22"/>
            </w:rPr>
          </w:pPr>
          <w:r>
            <w:fldChar w:fldCharType="begin"/>
          </w:r>
          <w:r>
            <w:instrText xml:space="preserve"> HYPERLINK \l "_Toc485909039" </w:instrText>
          </w:r>
          <w:r>
            <w:fldChar w:fldCharType="separate"/>
          </w:r>
          <w:r>
            <w:rPr>
              <w:rStyle w:val="16"/>
            </w:rPr>
            <w:t>附表5  调入区域规划调整前后对比表</w:t>
          </w:r>
          <w:r>
            <w:tab/>
          </w:r>
          <w:r>
            <w:fldChar w:fldCharType="begin"/>
          </w:r>
          <w:r>
            <w:instrText xml:space="preserve"> PAGEREF _Toc485909039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12"/>
            <w:tabs>
              <w:tab w:val="right" w:leader="dot" w:pos="9884"/>
            </w:tabs>
            <w:ind w:left="420"/>
            <w:rPr>
              <w:rFonts w:eastAsiaTheme="minorEastAsia"/>
              <w:kern w:val="2"/>
              <w:sz w:val="21"/>
              <w:szCs w:val="22"/>
            </w:rPr>
          </w:pPr>
          <w:r>
            <w:fldChar w:fldCharType="begin"/>
          </w:r>
          <w:r>
            <w:instrText xml:space="preserve"> HYPERLINK \l "_Toc485909040" </w:instrText>
          </w:r>
          <w:r>
            <w:fldChar w:fldCharType="separate"/>
          </w:r>
          <w:r>
            <w:rPr>
              <w:rStyle w:val="16"/>
            </w:rPr>
            <w:t>附表6  调出区域规划调整前后对比表</w:t>
          </w:r>
          <w:r>
            <w:tab/>
          </w:r>
          <w:r>
            <w:fldChar w:fldCharType="begin"/>
          </w:r>
          <w:r>
            <w:instrText xml:space="preserve"> PAGEREF _Toc485909040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12"/>
            <w:tabs>
              <w:tab w:val="right" w:leader="dot" w:pos="9884"/>
            </w:tabs>
            <w:ind w:left="420"/>
            <w:rPr>
              <w:rFonts w:eastAsiaTheme="minorEastAsia"/>
              <w:kern w:val="2"/>
              <w:sz w:val="21"/>
              <w:szCs w:val="22"/>
            </w:rPr>
          </w:pPr>
          <w:r>
            <w:fldChar w:fldCharType="begin"/>
          </w:r>
          <w:r>
            <w:instrText xml:space="preserve"> HYPERLINK \l "_Toc485909041" </w:instrText>
          </w:r>
          <w:r>
            <w:fldChar w:fldCharType="separate"/>
          </w:r>
          <w:r>
            <w:rPr>
              <w:rStyle w:val="16"/>
            </w:rPr>
            <w:t>附表7  板杉镇耕地保有量和基本农田保护面积分解表</w:t>
          </w:r>
          <w:r>
            <w:tab/>
          </w:r>
          <w:r>
            <w:fldChar w:fldCharType="begin"/>
          </w:r>
          <w:r>
            <w:instrText xml:space="preserve"> PAGEREF _Toc485909041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>
          <w:pPr>
            <w:pStyle w:val="12"/>
            <w:tabs>
              <w:tab w:val="right" w:leader="dot" w:pos="9884"/>
            </w:tabs>
            <w:ind w:left="420"/>
            <w:rPr>
              <w:rFonts w:eastAsiaTheme="minorEastAsia"/>
              <w:kern w:val="2"/>
              <w:sz w:val="21"/>
              <w:szCs w:val="22"/>
            </w:rPr>
          </w:pPr>
          <w:r>
            <w:fldChar w:fldCharType="begin"/>
          </w:r>
          <w:r>
            <w:instrText xml:space="preserve"> HYPERLINK \l "_Toc485909042" </w:instrText>
          </w:r>
          <w:r>
            <w:fldChar w:fldCharType="separate"/>
          </w:r>
          <w:r>
            <w:rPr>
              <w:rStyle w:val="16"/>
            </w:rPr>
            <w:t>附表8  板杉镇土地用途分区修改情况表</w:t>
          </w:r>
          <w:r>
            <w:tab/>
          </w:r>
          <w:r>
            <w:fldChar w:fldCharType="begin"/>
          </w:r>
          <w:r>
            <w:instrText xml:space="preserve"> PAGEREF _Toc485909042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>
          <w:pPr>
            <w:pStyle w:val="12"/>
            <w:tabs>
              <w:tab w:val="right" w:leader="dot" w:pos="9884"/>
            </w:tabs>
            <w:ind w:left="420"/>
            <w:rPr>
              <w:rFonts w:eastAsiaTheme="minorEastAsia"/>
              <w:kern w:val="2"/>
              <w:sz w:val="21"/>
              <w:szCs w:val="22"/>
            </w:rPr>
          </w:pPr>
          <w:r>
            <w:fldChar w:fldCharType="begin"/>
          </w:r>
          <w:r>
            <w:instrText xml:space="preserve"> HYPERLINK \l "_Toc485909043" </w:instrText>
          </w:r>
          <w:r>
            <w:fldChar w:fldCharType="separate"/>
          </w:r>
          <w:r>
            <w:rPr>
              <w:rStyle w:val="16"/>
            </w:rPr>
            <w:t>附表9  板杉镇建设用地空间管制分区修改情况表</w:t>
          </w:r>
          <w:r>
            <w:tab/>
          </w:r>
          <w:r>
            <w:fldChar w:fldCharType="begin"/>
          </w:r>
          <w:r>
            <w:instrText xml:space="preserve"> PAGEREF _Toc485909043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>
          <w:pPr>
            <w:pStyle w:val="12"/>
            <w:tabs>
              <w:tab w:val="right" w:leader="dot" w:pos="9884"/>
            </w:tabs>
            <w:ind w:left="420"/>
            <w:rPr>
              <w:rFonts w:eastAsiaTheme="minorEastAsia"/>
              <w:kern w:val="2"/>
              <w:sz w:val="21"/>
              <w:szCs w:val="22"/>
            </w:rPr>
          </w:pPr>
          <w:r>
            <w:fldChar w:fldCharType="begin"/>
          </w:r>
          <w:r>
            <w:instrText xml:space="preserve"> HYPERLINK \l "_Toc485909044" </w:instrText>
          </w:r>
          <w:r>
            <w:fldChar w:fldCharType="separate"/>
          </w:r>
          <w:r>
            <w:rPr>
              <w:rStyle w:val="16"/>
            </w:rPr>
            <w:t>附表10  板杉镇2016-2020年重点建设用地项目规划表</w:t>
          </w:r>
          <w:r>
            <w:tab/>
          </w:r>
          <w:r>
            <w:fldChar w:fldCharType="begin"/>
          </w:r>
          <w:r>
            <w:instrText xml:space="preserve"> PAGEREF _Toc485909044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>
          <w:pPr>
            <w:pStyle w:val="12"/>
            <w:tabs>
              <w:tab w:val="right" w:leader="dot" w:pos="9884"/>
            </w:tabs>
            <w:ind w:left="420"/>
            <w:rPr>
              <w:rFonts w:eastAsiaTheme="minorEastAsia"/>
              <w:kern w:val="2"/>
              <w:sz w:val="21"/>
              <w:szCs w:val="22"/>
            </w:rPr>
          </w:pPr>
          <w:r>
            <w:fldChar w:fldCharType="begin"/>
          </w:r>
          <w:r>
            <w:instrText xml:space="preserve"> HYPERLINK \l "_Toc485909045" </w:instrText>
          </w:r>
          <w:r>
            <w:fldChar w:fldCharType="separate"/>
          </w:r>
          <w:r>
            <w:rPr>
              <w:rStyle w:val="16"/>
            </w:rPr>
            <w:t>附表11  板杉镇土地用途分区面积统计表</w:t>
          </w:r>
          <w:r>
            <w:tab/>
          </w:r>
          <w:r>
            <w:fldChar w:fldCharType="begin"/>
          </w:r>
          <w:r>
            <w:instrText xml:space="preserve"> PAGEREF _Toc485909045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>
          <w:pPr>
            <w:pStyle w:val="12"/>
            <w:tabs>
              <w:tab w:val="right" w:leader="dot" w:pos="9884"/>
            </w:tabs>
            <w:ind w:left="420"/>
            <w:rPr>
              <w:rFonts w:eastAsiaTheme="minorEastAsia"/>
              <w:kern w:val="2"/>
              <w:sz w:val="21"/>
              <w:szCs w:val="22"/>
            </w:rPr>
          </w:pPr>
          <w:r>
            <w:fldChar w:fldCharType="begin"/>
          </w:r>
          <w:r>
            <w:instrText xml:space="preserve"> HYPERLINK \l "_Toc485909046" </w:instrText>
          </w:r>
          <w:r>
            <w:fldChar w:fldCharType="separate"/>
          </w:r>
          <w:r>
            <w:rPr>
              <w:rStyle w:val="16"/>
            </w:rPr>
            <w:t>附表12  板杉镇2006-2020年地类结构平衡表</w:t>
          </w:r>
          <w:r>
            <w:tab/>
          </w:r>
          <w:r>
            <w:fldChar w:fldCharType="begin"/>
          </w:r>
          <w:r>
            <w:instrText xml:space="preserve"> PAGEREF _Toc485909046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fldChar w:fldCharType="end"/>
          </w:r>
        </w:p>
      </w:sdtContent>
    </w:sdt>
    <w:p>
      <w:pPr>
        <w:spacing w:line="360" w:lineRule="auto"/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widowControl/>
        <w:spacing w:beforeLines="50" w:afterLines="50" w:line="600" w:lineRule="exact"/>
        <w:jc w:val="left"/>
        <w:rPr>
          <w:rFonts w:ascii="Times New Roman" w:hAnsi="Times New Roman" w:eastAsia="黑体" w:cs="Times New Roman"/>
          <w:kern w:val="0"/>
          <w:sz w:val="32"/>
          <w:szCs w:val="32"/>
        </w:rPr>
        <w:sectPr>
          <w:headerReference r:id="rId3" w:type="default"/>
          <w:footerReference r:id="rId4" w:type="default"/>
          <w:pgSz w:w="23814" w:h="16839"/>
          <w:pgMar w:top="1440" w:right="1800" w:bottom="1440" w:left="1800" w:header="851" w:footer="992" w:gutter="0"/>
          <w:pgNumType w:fmt="upperRoman" w:start="1"/>
          <w:cols w:space="425" w:num="2"/>
          <w:docGrid w:type="lines" w:linePitch="312" w:charSpace="0"/>
        </w:sectPr>
      </w:pPr>
      <w:bookmarkStart w:id="99" w:name="_GoBack"/>
      <w:bookmarkEnd w:id="99"/>
    </w:p>
    <w:bookmarkEnd w:id="0"/>
    <w:bookmarkEnd w:id="1"/>
    <w:bookmarkEnd w:id="2"/>
    <w:p>
      <w:pPr>
        <w:spacing w:line="360" w:lineRule="auto"/>
        <w:jc w:val="left"/>
        <w:outlineLvl w:val="0"/>
        <w:rPr>
          <w:rFonts w:ascii="Times New Roman" w:hAnsi="Times New Roman" w:eastAsia="黑体" w:cs="Times New Roman"/>
          <w:kern w:val="0"/>
          <w:sz w:val="32"/>
          <w:szCs w:val="32"/>
        </w:rPr>
      </w:pPr>
      <w:bookmarkStart w:id="3" w:name="_Toc477764599"/>
      <w:bookmarkStart w:id="4" w:name="_Toc485909014"/>
      <w:bookmarkStart w:id="5" w:name="_Toc469235313"/>
      <w:bookmarkStart w:id="6" w:name="_Toc476734945"/>
      <w:r>
        <w:rPr>
          <w:rFonts w:ascii="Times New Roman" w:hAnsi="Times New Roman" w:eastAsia="黑体" w:cs="Times New Roman"/>
          <w:kern w:val="0"/>
          <w:sz w:val="32"/>
          <w:szCs w:val="32"/>
        </w:rPr>
        <w:t>一、基本情况</w:t>
      </w:r>
      <w:bookmarkEnd w:id="3"/>
      <w:bookmarkEnd w:id="4"/>
      <w:bookmarkEnd w:id="5"/>
      <w:bookmarkEnd w:id="6"/>
    </w:p>
    <w:p>
      <w:pPr>
        <w:spacing w:line="360" w:lineRule="auto"/>
        <w:jc w:val="left"/>
        <w:outlineLvl w:val="1"/>
        <w:rPr>
          <w:rFonts w:ascii="Times New Roman" w:hAnsi="Times New Roman" w:eastAsia="仿宋_GB2312" w:cs="Times New Roman"/>
          <w:b/>
          <w:kern w:val="0"/>
          <w:sz w:val="28"/>
          <w:szCs w:val="28"/>
        </w:rPr>
      </w:pPr>
      <w:bookmarkStart w:id="7" w:name="_Toc485909015"/>
      <w:bookmarkStart w:id="8" w:name="_Toc476734946"/>
      <w:r>
        <w:rPr>
          <w:rFonts w:ascii="Times New Roman" w:hAnsi="Times New Roman" w:eastAsia="黑体" w:cs="Times New Roman"/>
          <w:sz w:val="30"/>
          <w:szCs w:val="30"/>
        </w:rPr>
        <w:t>（一）行政区划调整</w:t>
      </w:r>
      <w:bookmarkEnd w:id="7"/>
      <w:bookmarkEnd w:id="8"/>
    </w:p>
    <w:p>
      <w:pPr>
        <w:widowControl/>
        <w:spacing w:line="360" w:lineRule="auto"/>
        <w:ind w:firstLine="560" w:firstLineChars="200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根据湖南省民政厅《关于同意醴陵市乡镇区划调整方案的批复》（湘民行发〔2015〕85号）以及醴陵市人民政府《关于同意板杉镇建制村合并调整的批复》（醴政函〔2016〕47号）：撤销板杉乡设板杉镇，行政区域部分调整，将原板杉乡土株岭村划归国瓷街道管辖。调整后板杉镇下辖10个建制村，总人口4.11万人，镇人民政府驻长口坡。</w:t>
      </w:r>
    </w:p>
    <w:p>
      <w:pPr>
        <w:spacing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9" w:name="_Toc485909016"/>
      <w:bookmarkStart w:id="10" w:name="_Toc476734947"/>
      <w:r>
        <w:rPr>
          <w:rFonts w:ascii="Times New Roman" w:hAnsi="Times New Roman" w:eastAsia="黑体" w:cs="Times New Roman"/>
          <w:sz w:val="30"/>
          <w:szCs w:val="30"/>
        </w:rPr>
        <w:t>（二）地理区位</w:t>
      </w:r>
      <w:bookmarkEnd w:id="9"/>
      <w:bookmarkEnd w:id="10"/>
    </w:p>
    <w:p>
      <w:pPr>
        <w:ind w:firstLine="560" w:firstLineChars="200"/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板杉镇位于醴陵北部，距醴陵城区仅8公里。东接沩山镇，南临国瓷街道，西与左权镇、株洲县接壤，北与枫林镇毗邻。板杉镇是醴陵“北大门”，区位优势明显，交通十分便利。浙赣铁路、沪昆高速公路、平汝高速公路、320国道、醴官公路贯穿境内。</w:t>
      </w:r>
    </w:p>
    <w:p>
      <w:pPr>
        <w:spacing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11" w:name="_Toc476734948"/>
      <w:bookmarkStart w:id="12" w:name="_Toc485909017"/>
      <w:r>
        <w:rPr>
          <w:rFonts w:ascii="Times New Roman" w:hAnsi="Times New Roman" w:eastAsia="黑体" w:cs="Times New Roman"/>
          <w:sz w:val="30"/>
          <w:szCs w:val="30"/>
        </w:rPr>
        <w:t>（三）经济发展</w:t>
      </w:r>
      <w:bookmarkEnd w:id="11"/>
      <w:bookmarkEnd w:id="12"/>
    </w:p>
    <w:p>
      <w:pPr>
        <w:widowControl/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板杉镇农业种养业比较突出，是全市优质稻示范基地、生猪养殖基地和水稻高产区之一，全镇水稻种植面积1632公顷，其中优质稻面积1300公顷。板杉镇历史人文底蕴深厚，侗家民居客人棚古侗寨，依山傍水修建起的吊脚楼，充分展示了乡间侗族的建筑特色，每年吸引大量游客造访。</w:t>
      </w:r>
    </w:p>
    <w:p>
      <w:pPr>
        <w:spacing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13" w:name="_Toc485909018"/>
      <w:bookmarkStart w:id="14" w:name="_Toc476734949"/>
      <w:bookmarkStart w:id="15" w:name="_Toc469235315"/>
      <w:r>
        <w:rPr>
          <w:rFonts w:ascii="Times New Roman" w:hAnsi="Times New Roman" w:eastAsia="黑体" w:cs="Times New Roman"/>
          <w:sz w:val="30"/>
          <w:szCs w:val="30"/>
        </w:rPr>
        <w:t>（四）土地利用现状</w:t>
      </w:r>
      <w:bookmarkEnd w:id="13"/>
      <w:bookmarkEnd w:id="14"/>
      <w:bookmarkEnd w:id="15"/>
    </w:p>
    <w:p>
      <w:pPr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2014年，板杉镇土地总面积</w:t>
      </w:r>
      <w:bookmarkStart w:id="16" w:name="OLE_LINK1"/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D:\\醴陵调整完善\\表格(净2013)\\乡镇表格\\8板杉镇\\文本表格.xls 表1!R5C6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ascii="Times New Roman" w:hAnsi="Times New Roman" w:cs="Times New Roman"/>
          <w:sz w:val="28"/>
          <w:szCs w:val="28"/>
        </w:rPr>
        <w:t>8993.95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bookmarkEnd w:id="16"/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公顷，其中农用地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D:\\醴陵调整完善\\表格(净2013)\\乡镇表格\\8板杉镇\\文本表格.xls 表1!R11C6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ascii="Times New Roman" w:hAnsi="Times New Roman" w:cs="Times New Roman"/>
          <w:sz w:val="28"/>
          <w:szCs w:val="28"/>
        </w:rPr>
        <w:t>7933.29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公顷，占土地总面积的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D:\\醴陵调整完善\\表格(净2013)\\乡镇表格\\8板杉镇\\文本表格.xls 表1!R11C7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ascii="Times New Roman" w:hAnsi="Times New Roman" w:cs="Times New Roman"/>
          <w:sz w:val="28"/>
          <w:szCs w:val="28"/>
        </w:rPr>
        <w:t>88.21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%；建设用地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D:\\醴陵调整完善\\表格(净2013)\\乡镇表格\\8板杉镇\\文本表格.xls 表1!R19C6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ascii="Times New Roman" w:hAnsi="Times New Roman" w:cs="Times New Roman"/>
          <w:sz w:val="28"/>
          <w:szCs w:val="28"/>
        </w:rPr>
        <w:t>976.28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公顷，占土地总面积的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D:\\醴陵调整完善\\表格(净2013)\\乡镇表格\\8板杉镇\\文本表格.xls 表1!R19C7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ascii="Times New Roman" w:hAnsi="Times New Roman" w:cs="Times New Roman"/>
          <w:sz w:val="28"/>
          <w:szCs w:val="28"/>
        </w:rPr>
        <w:t>10.85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%；其他土地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D:\\醴陵调整完善\\表格(净2013)\\乡镇表格\\8板杉镇\\文本表格.xls 表1!R22C6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ascii="Times New Roman" w:hAnsi="Times New Roman" w:cs="Times New Roman"/>
          <w:sz w:val="28"/>
          <w:szCs w:val="28"/>
        </w:rPr>
        <w:t>84.38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公顷，占土地总面积的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D:\\醴陵调整完善\\表格(净2013)\\乡镇表格\\8板杉镇\\文本表格.xls 表1!R22C7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ascii="Times New Roman" w:hAnsi="Times New Roman" w:cs="Times New Roman"/>
          <w:sz w:val="28"/>
          <w:szCs w:val="28"/>
        </w:rPr>
        <w:t>0.94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%。（详见附表1）</w:t>
      </w:r>
    </w:p>
    <w:p>
      <w:pPr>
        <w:spacing w:line="360" w:lineRule="auto"/>
        <w:jc w:val="left"/>
        <w:outlineLvl w:val="0"/>
        <w:rPr>
          <w:rFonts w:ascii="Times New Roman" w:hAnsi="Times New Roman" w:eastAsia="黑体" w:cs="Times New Roman"/>
          <w:kern w:val="0"/>
          <w:sz w:val="32"/>
          <w:szCs w:val="32"/>
        </w:rPr>
      </w:pPr>
      <w:bookmarkStart w:id="17" w:name="_Toc485909019"/>
      <w:bookmarkStart w:id="18" w:name="_Toc476734950"/>
      <w:bookmarkStart w:id="19" w:name="_Toc469235316"/>
      <w:bookmarkStart w:id="20" w:name="_Toc468872186"/>
      <w:r>
        <w:rPr>
          <w:rFonts w:ascii="Times New Roman" w:hAnsi="Times New Roman" w:eastAsia="黑体" w:cs="Times New Roman"/>
          <w:kern w:val="0"/>
          <w:sz w:val="32"/>
          <w:szCs w:val="32"/>
        </w:rPr>
        <w:t>二、规划修改期限与范围</w:t>
      </w:r>
      <w:bookmarkEnd w:id="17"/>
      <w:bookmarkEnd w:id="18"/>
      <w:bookmarkEnd w:id="19"/>
      <w:bookmarkEnd w:id="20"/>
    </w:p>
    <w:p>
      <w:pPr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本次规划修改以2005年为基期年，2014年为规划修改年，2020年为目标年。</w:t>
      </w:r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规划范围为板杉镇区域内的所有土地，土地总面积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D:\\醴陵调整完善\\表格(净2013)\\乡镇表格\\8板杉镇\\文本表格.xls 表1!R5C6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8993.95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公顷。</w:t>
      </w:r>
    </w:p>
    <w:p>
      <w:pPr>
        <w:spacing w:line="360" w:lineRule="auto"/>
        <w:jc w:val="left"/>
        <w:outlineLvl w:val="0"/>
        <w:rPr>
          <w:rFonts w:ascii="Times New Roman" w:hAnsi="Times New Roman" w:eastAsia="黑体" w:cs="Times New Roman"/>
          <w:kern w:val="0"/>
          <w:sz w:val="32"/>
          <w:szCs w:val="32"/>
        </w:rPr>
      </w:pPr>
      <w:bookmarkStart w:id="21" w:name="_Toc469235317"/>
      <w:bookmarkStart w:id="22" w:name="_Toc476734951"/>
      <w:bookmarkStart w:id="23" w:name="_Toc485909020"/>
      <w:bookmarkStart w:id="24" w:name="_Toc233731124"/>
      <w:bookmarkStart w:id="25" w:name="_Toc233731296"/>
      <w:bookmarkStart w:id="26" w:name="_Toc233771272"/>
      <w:r>
        <w:rPr>
          <w:rFonts w:ascii="Times New Roman" w:hAnsi="Times New Roman" w:eastAsia="黑体" w:cs="Times New Roman"/>
          <w:kern w:val="0"/>
          <w:sz w:val="32"/>
          <w:szCs w:val="32"/>
        </w:rPr>
        <w:t>三、土地利用规划目标</w:t>
      </w:r>
      <w:bookmarkEnd w:id="21"/>
      <w:bookmarkEnd w:id="22"/>
      <w:bookmarkEnd w:id="23"/>
    </w:p>
    <w:bookmarkEnd w:id="24"/>
    <w:bookmarkEnd w:id="25"/>
    <w:bookmarkEnd w:id="26"/>
    <w:p>
      <w:pPr>
        <w:widowControl/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规划修改后，到2020年，全镇耕地保有量不低于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D:\\醴陵调整完善\\表格(净2013)\\乡镇表格\\8板杉镇\\乡镇规划附表.xlsx 目标!R4C4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2416.00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公顷；基本农田保护面积不低于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D:\\醴陵调整完善\\表格(净2013)\\乡镇表格\\8板杉镇\\乡镇规划附表.xlsx 目标!R5C4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2191.00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公顷；全镇通过土地开发整理复垦补充耕地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D:\\醴陵调整完善\\表格(净2013)\\乡镇表格\\8板杉镇\\乡镇规划附表.xlsx 目标!R12C4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57.87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公顷。</w:t>
      </w:r>
    </w:p>
    <w:p>
      <w:pPr>
        <w:widowControl/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规划修改后，到2020年，全镇建设用地总规模控制在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D:\\醴陵调整完善\\表格(净2013)\\乡镇表格\\8板杉镇\\乡镇规划附表.xlsx 目标!R6C4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1040.55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公顷以内，城乡建设用地规模控制在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D:\\醴陵调整完善\\表格(净2013)\\乡镇表格\\8板杉镇\\乡镇规划附表.xlsx 目标!R7C4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742.75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公顷以内；城镇工矿用地规模控制在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D:\\醴陵调整完善\\表格(净2013)\\乡镇表格\\8板杉镇\\乡镇规划附表.xlsx 目标!R8C4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79.80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公顷以内；2006-2020年，新增建设用地规模控制在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D:\\醴陵调整完善\\表格(净2013)\\乡镇表格\\8板杉镇\\乡镇规划附表.xlsx 目标!R9C4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158.75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公顷以内，新增建设占用农用地规模控制在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D:\\醴陵调整完善\\表格(净2013)\\乡镇表格\\8板杉镇\\乡镇规划附表.xlsx 目标!R10C4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156.93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公顷以内，新增建设占用耕地规模控制在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D:\\醴陵调整完善\\表格(净2013)\\乡镇表格\\8板杉镇\\乡镇规划附表.xlsx 目标!R11C4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53.06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公顷以内。修改前后各项规划目标及变化情况见附表3。</w:t>
      </w:r>
    </w:p>
    <w:p>
      <w:pPr>
        <w:spacing w:line="360" w:lineRule="auto"/>
        <w:jc w:val="left"/>
        <w:outlineLvl w:val="0"/>
        <w:rPr>
          <w:rFonts w:ascii="Times New Roman" w:hAnsi="Times New Roman" w:eastAsia="黑体" w:cs="Times New Roman"/>
          <w:kern w:val="0"/>
          <w:sz w:val="32"/>
          <w:szCs w:val="32"/>
        </w:rPr>
      </w:pPr>
      <w:bookmarkStart w:id="27" w:name="_Toc469235327"/>
      <w:bookmarkStart w:id="28" w:name="_Toc485909021"/>
      <w:bookmarkStart w:id="29" w:name="_Toc476734952"/>
      <w:bookmarkStart w:id="30" w:name="_Toc469235320"/>
      <w:bookmarkStart w:id="31" w:name="_Toc229458166"/>
      <w:bookmarkStart w:id="32" w:name="_Toc204342104"/>
      <w:bookmarkStart w:id="33" w:name="_Toc145225166"/>
      <w:r>
        <w:rPr>
          <w:rFonts w:ascii="Times New Roman" w:hAnsi="Times New Roman" w:eastAsia="黑体" w:cs="Times New Roman"/>
          <w:kern w:val="0"/>
          <w:sz w:val="32"/>
          <w:szCs w:val="32"/>
        </w:rPr>
        <w:t>四、</w:t>
      </w:r>
      <w:bookmarkEnd w:id="27"/>
      <w:r>
        <w:rPr>
          <w:rFonts w:ascii="Times New Roman" w:hAnsi="Times New Roman" w:eastAsia="黑体" w:cs="Times New Roman"/>
          <w:kern w:val="0"/>
          <w:sz w:val="32"/>
          <w:szCs w:val="32"/>
        </w:rPr>
        <w:t>永久基本农田划定情况</w:t>
      </w:r>
      <w:bookmarkEnd w:id="28"/>
      <w:bookmarkEnd w:id="29"/>
    </w:p>
    <w:p>
      <w:pPr>
        <w:spacing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34" w:name="_Toc485909022"/>
      <w:bookmarkStart w:id="35" w:name="_Toc476734953"/>
      <w:r>
        <w:rPr>
          <w:rFonts w:ascii="Times New Roman" w:hAnsi="Times New Roman" w:eastAsia="黑体" w:cs="Times New Roman"/>
          <w:sz w:val="30"/>
          <w:szCs w:val="30"/>
        </w:rPr>
        <w:t>（一）调出情况</w:t>
      </w:r>
      <w:bookmarkEnd w:id="34"/>
      <w:bookmarkEnd w:id="35"/>
    </w:p>
    <w:p>
      <w:pPr>
        <w:ind w:firstLine="560" w:firstLineChars="200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本次规划修改共计减少基本农田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D:\\醴陵调整完善\\表格(净2013)\\乡镇表格\\8板杉镇\\乡镇规划附表.xlsx 耕基!R12C7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61.70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公顷，其中因建设占用调出基本农田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D:\\醴陵调整完善\\表格(净2013)\\乡镇表格\\8板杉镇\\乡镇规划附表.xlsx 耕基!R12C5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1.35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公顷，集中分布在夏坪桥村，调出质量较差基本农田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D:\\醴陵调整完善\\表格(净2013)\\乡镇表格\\8板杉镇\\乡镇规划附表.xlsx 耕基!R12C6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60.35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公顷，全镇各村均有涉及。</w:t>
      </w:r>
    </w:p>
    <w:p>
      <w:pPr>
        <w:spacing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36" w:name="_Toc485909023"/>
      <w:bookmarkStart w:id="37" w:name="_Toc476734954"/>
      <w:r>
        <w:rPr>
          <w:rFonts w:ascii="Times New Roman" w:hAnsi="Times New Roman" w:eastAsia="黑体" w:cs="Times New Roman"/>
          <w:sz w:val="30"/>
          <w:szCs w:val="30"/>
        </w:rPr>
        <w:t>（二）补划情况</w:t>
      </w:r>
      <w:bookmarkEnd w:id="36"/>
      <w:bookmarkEnd w:id="37"/>
    </w:p>
    <w:p>
      <w:pPr>
        <w:ind w:firstLine="560" w:firstLineChars="200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本次规划修改共计补划基本农田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D:\\醴陵调整完善\\表格(净2013)\\乡镇表格\\8板杉镇\\乡镇规划附表.xlsx 耕基!R12C4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17.57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公顷，其中因建设用地调出补划基本农田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D:\\醴陵调整完善\\表格(净2013)\\乡镇表格\\8板杉镇\\乡镇规划附表.xlsx 耕基!R12C2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4.30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公顷，集中分布在流碧桥村，优质耕地调入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D:\\醴陵调整完善\\表格(净2013)\\乡镇表格\\8板杉镇\\乡镇规划附表.xlsx 耕基!R12C3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13.28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公顷，主要集中在长坡口村、七里山村、寨下村。</w:t>
      </w:r>
    </w:p>
    <w:p>
      <w:pPr>
        <w:ind w:firstLine="560" w:firstLineChars="200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划定后，板杉镇永久基本农田面积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D:\\醴陵调整完善\\表格(净2013)\\乡镇表格\\8板杉镇\\乡镇规划附表.xlsx 耕基!R12C9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2191.95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公顷（较规划修改前减少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D:\\醴陵调整完善\\表格(净2013)\\乡镇表格\\8板杉镇\\乡镇规划附表.xlsx 耕基!R12C8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44.23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D:\\醴陵调整完善\\表格(净2013)\\乡镇表格\\8板杉镇\\乡镇规划附表.xlsx 耕基!R13C8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公顷），此次调整完善优化全镇基本农田布局。</w:t>
      </w:r>
    </w:p>
    <w:p>
      <w:pPr>
        <w:ind w:firstLine="480" w:firstLineChars="200"/>
        <w:jc w:val="center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br w:type="column"/>
      </w:r>
      <w:r>
        <w:rPr>
          <w:rFonts w:ascii="Times New Roman" w:hAnsi="Times New Roman" w:eastAsia="黑体" w:cs="Times New Roman"/>
          <w:sz w:val="24"/>
          <w:szCs w:val="24"/>
        </w:rPr>
        <w:t>表1 板杉镇基本农田布局调整情况表</w:t>
      </w:r>
    </w:p>
    <w:p>
      <w:pPr>
        <w:snapToGrid w:val="0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单位：公顷</w:t>
      </w:r>
    </w:p>
    <w:tbl>
      <w:tblPr>
        <w:tblStyle w:val="18"/>
        <w:tblW w:w="10192" w:type="dxa"/>
        <w:tblInd w:w="0" w:type="dxa"/>
        <w:tblBorders>
          <w:top w:val="double" w:color="auto" w:sz="6" w:space="0"/>
          <w:left w:val="none" w:color="auto" w:sz="0" w:space="0"/>
          <w:bottom w:val="double" w:color="auto" w:sz="6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1356"/>
        <w:gridCol w:w="1017"/>
        <w:gridCol w:w="1017"/>
        <w:gridCol w:w="848"/>
        <w:gridCol w:w="1537"/>
        <w:gridCol w:w="950"/>
        <w:gridCol w:w="1070"/>
        <w:gridCol w:w="1245"/>
      </w:tblGrid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40" w:hRule="atLeast"/>
        </w:trPr>
        <w:tc>
          <w:tcPr>
            <w:tcW w:w="1152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修改前</w:t>
            </w:r>
          </w:p>
        </w:tc>
        <w:tc>
          <w:tcPr>
            <w:tcW w:w="3390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增加</w:t>
            </w:r>
            <w:r>
              <w:rPr>
                <w:rFonts w:ascii="Times New Roman" w:hAnsi="宋体" w:eastAsia="宋体" w:cs="Times New Roman"/>
                <w:kern w:val="0"/>
                <w:szCs w:val="21"/>
              </w:rPr>
              <w:t>①</w:t>
            </w:r>
          </w:p>
        </w:tc>
        <w:tc>
          <w:tcPr>
            <w:tcW w:w="3335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减少</w:t>
            </w:r>
            <w:r>
              <w:rPr>
                <w:rFonts w:ascii="Times New Roman" w:hAnsi="宋体" w:eastAsia="宋体" w:cs="Times New Roman"/>
                <w:kern w:val="0"/>
                <w:szCs w:val="21"/>
              </w:rPr>
              <w:t>②</w:t>
            </w:r>
          </w:p>
        </w:tc>
        <w:tc>
          <w:tcPr>
            <w:tcW w:w="1070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净变化</w:t>
            </w:r>
            <w:r>
              <w:rPr>
                <w:rFonts w:ascii="Times New Roman" w:hAnsi="宋体" w:eastAsia="宋体" w:cs="Times New Roman"/>
                <w:kern w:val="0"/>
                <w:szCs w:val="21"/>
              </w:rPr>
              <w:t>①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-</w:t>
            </w:r>
            <w:r>
              <w:rPr>
                <w:rFonts w:ascii="Times New Roman" w:hAnsi="宋体" w:eastAsia="宋体" w:cs="Times New Roman"/>
                <w:kern w:val="0"/>
                <w:szCs w:val="21"/>
              </w:rPr>
              <w:t>②</w:t>
            </w:r>
          </w:p>
        </w:tc>
        <w:tc>
          <w:tcPr>
            <w:tcW w:w="124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修改后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3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建设用地调出补划</w:t>
            </w:r>
          </w:p>
        </w:tc>
        <w:tc>
          <w:tcPr>
            <w:tcW w:w="10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优质耕地调入</w:t>
            </w:r>
          </w:p>
        </w:tc>
        <w:tc>
          <w:tcPr>
            <w:tcW w:w="10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建设占用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质量较差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基本农田</w:t>
            </w:r>
          </w:p>
        </w:tc>
        <w:tc>
          <w:tcPr>
            <w:tcW w:w="95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小计</w:t>
            </w:r>
          </w:p>
        </w:tc>
        <w:tc>
          <w:tcPr>
            <w:tcW w:w="107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4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2236.08 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4.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30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13.28 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17.5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7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1.35 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60.35 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61.70 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-44.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23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2191.9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5</w:t>
            </w:r>
          </w:p>
        </w:tc>
      </w:tr>
    </w:tbl>
    <w:p>
      <w:pPr>
        <w:spacing w:beforeLines="50" w:line="360" w:lineRule="auto"/>
        <w:jc w:val="left"/>
        <w:outlineLvl w:val="0"/>
        <w:rPr>
          <w:rFonts w:ascii="Times New Roman" w:hAnsi="Times New Roman" w:eastAsia="黑体" w:cs="Times New Roman"/>
          <w:kern w:val="0"/>
          <w:sz w:val="32"/>
          <w:szCs w:val="32"/>
        </w:rPr>
      </w:pPr>
      <w:bookmarkStart w:id="38" w:name="_Toc485909024"/>
      <w:bookmarkStart w:id="39" w:name="_Toc476734955"/>
      <w:r>
        <w:rPr>
          <w:rFonts w:ascii="Times New Roman" w:hAnsi="Times New Roman" w:eastAsia="黑体" w:cs="Times New Roman"/>
          <w:kern w:val="0"/>
          <w:sz w:val="32"/>
          <w:szCs w:val="32"/>
        </w:rPr>
        <w:t>五、建设用地规模与布局调整</w:t>
      </w:r>
      <w:bookmarkEnd w:id="30"/>
      <w:bookmarkEnd w:id="38"/>
      <w:bookmarkEnd w:id="39"/>
    </w:p>
    <w:p>
      <w:pPr>
        <w:spacing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40" w:name="_Toc485909025"/>
      <w:bookmarkStart w:id="41" w:name="_Toc476734956"/>
      <w:bookmarkStart w:id="42" w:name="_Toc469235321"/>
      <w:r>
        <w:rPr>
          <w:rFonts w:ascii="Times New Roman" w:hAnsi="Times New Roman" w:eastAsia="黑体" w:cs="Times New Roman"/>
          <w:sz w:val="30"/>
          <w:szCs w:val="30"/>
        </w:rPr>
        <w:t>（一）城镇用地</w:t>
      </w:r>
      <w:bookmarkEnd w:id="40"/>
      <w:bookmarkEnd w:id="41"/>
      <w:bookmarkEnd w:id="42"/>
      <w:bookmarkStart w:id="43" w:name="_Toc476734957"/>
      <w:bookmarkStart w:id="44" w:name="_Toc469235322"/>
    </w:p>
    <w:p>
      <w:pPr>
        <w:spacing w:line="360" w:lineRule="auto"/>
        <w:ind w:firstLine="560" w:firstLineChars="200"/>
        <w:jc w:val="left"/>
        <w:outlineLvl w:val="1"/>
        <w:rPr>
          <w:rFonts w:ascii="Times New Roman" w:hAnsi="Times New Roman" w:eastAsia="仿宋_GB2312" w:cs="Times New Roman"/>
          <w:sz w:val="28"/>
          <w:szCs w:val="24"/>
        </w:rPr>
      </w:pPr>
      <w:bookmarkStart w:id="45" w:name="_Toc485909026"/>
      <w:r>
        <w:rPr>
          <w:rFonts w:ascii="Times New Roman" w:hAnsi="Times New Roman" w:eastAsia="仿宋_GB2312" w:cs="Times New Roman"/>
          <w:sz w:val="28"/>
          <w:szCs w:val="24"/>
        </w:rPr>
        <w:t>本次规划修改城镇用地未调整，保持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4"/>
        </w:rPr>
        <w:instrText xml:space="preserve"> D:\\醴陵调整完善\\表格(净2013)\\乡镇表格\\8板杉镇\\乡镇规划附表.xlsx 城!R5C11 </w:instrText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4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4"/>
        </w:rPr>
        <w:t xml:space="preserve">4.15 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4"/>
        </w:rPr>
        <w:t>公顷不变。</w:t>
      </w:r>
      <w:bookmarkEnd w:id="45"/>
    </w:p>
    <w:p>
      <w:pPr>
        <w:spacing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46" w:name="_Toc485909027"/>
      <w:r>
        <w:rPr>
          <w:rFonts w:ascii="Times New Roman" w:hAnsi="Times New Roman" w:eastAsia="黑体" w:cs="Times New Roman"/>
          <w:sz w:val="30"/>
          <w:szCs w:val="30"/>
        </w:rPr>
        <w:t>（二）农村居民点用地</w:t>
      </w:r>
      <w:bookmarkEnd w:id="43"/>
      <w:bookmarkEnd w:id="44"/>
      <w:bookmarkEnd w:id="46"/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4"/>
        </w:rPr>
        <w:t>本次规划修改，按照</w:t>
      </w:r>
      <w:r>
        <w:rPr>
          <w:rFonts w:ascii="Times New Roman" w:hAnsi="Times New Roman" w:eastAsia="仿宋_GB2312" w:cs="Times New Roman"/>
          <w:sz w:val="28"/>
          <w:szCs w:val="28"/>
        </w:rPr>
        <w:t>“农民集中居住、农业集中经营、农田集中耕作”的理念，结合易地扶贫搬迁安置工程及新农村建设，对板杉镇农村居民点用地布局进行调整。</w:t>
      </w:r>
    </w:p>
    <w:p>
      <w:pPr>
        <w:spacing w:line="360" w:lineRule="auto"/>
        <w:ind w:firstLine="562" w:firstLineChars="200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增加</w:t>
      </w:r>
      <w:r>
        <w:rPr>
          <w:rFonts w:ascii="Times New Roman" w:hAnsi="Times New Roman" w:eastAsia="仿宋_GB2312" w:cs="Times New Roman"/>
          <w:sz w:val="28"/>
          <w:szCs w:val="28"/>
        </w:rPr>
        <w:t>：规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划修改共增加农村居民点用地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D:\\醴陵调整完善\\表格(净2013)\\乡镇表格\\8板杉镇\\乡镇规划附表.xlsx 农!R5C4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5.38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公顷，其中因建设调入农村居民点用地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D:\\醴陵调整完善\\表格(净2013)\\乡镇表格\\8板杉镇\\乡镇规划附表.xlsx 农!R5C2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5.34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公顷，切块调出还原农村居民点用地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D:\\醴陵调整完善\\表格(净2013)\\乡镇表格\\8板杉镇\\乡镇规划附表.xlsx 农!R5C3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0.04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公顷，主要集中在长坡口村。</w:t>
      </w:r>
    </w:p>
    <w:p>
      <w:pPr>
        <w:spacing w:line="360" w:lineRule="auto"/>
        <w:ind w:firstLine="562" w:firstLineChars="200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减少</w:t>
      </w:r>
      <w:r>
        <w:rPr>
          <w:rFonts w:ascii="Times New Roman" w:hAnsi="Times New Roman" w:eastAsia="仿宋_GB2312" w:cs="Times New Roman"/>
          <w:sz w:val="28"/>
          <w:szCs w:val="28"/>
        </w:rPr>
        <w:t>：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规划修改因建设用地内部转换减少农村居民点用地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D:\\醴陵调整完善\\表格(净2013)\\乡镇表格\\8板杉镇\\乡镇规划附表.xlsx 农!R5C9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5.59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公顷，集中分布在七里山村。</w:t>
      </w:r>
    </w:p>
    <w:p>
      <w:pPr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修改后，农村居民点用地规模由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D:\\醴陵调整完善\\表格(净2013)\\乡镇表格\\8板杉镇\\乡镇规划附表.xlsx 农!R5C1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663.16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公顷调整为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D:\\醴陵调整完善\\表格(净2013)\\乡镇表格\\8板杉镇\\乡镇规划附表.xlsx 农!R5C11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662.95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公顷，净减少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D:\\醴陵调整完善\\表格(净2013)\\乡镇表格\\8板杉镇\\乡镇规划附表.xlsx 农!R5C10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0.21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公顷。</w:t>
      </w:r>
    </w:p>
    <w:p>
      <w:pPr>
        <w:spacing w:line="360" w:lineRule="auto"/>
        <w:ind w:firstLine="480" w:firstLineChars="200"/>
        <w:jc w:val="center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表2  板杉镇农村居民点用地布局调整情况表</w:t>
      </w:r>
    </w:p>
    <w:p>
      <w:pPr>
        <w:snapToGrid w:val="0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单位：公顷</w:t>
      </w:r>
    </w:p>
    <w:tbl>
      <w:tblPr>
        <w:tblStyle w:val="18"/>
        <w:tblW w:w="1019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2"/>
        <w:gridCol w:w="1013"/>
        <w:gridCol w:w="1195"/>
        <w:gridCol w:w="1023"/>
        <w:gridCol w:w="1229"/>
        <w:gridCol w:w="1123"/>
        <w:gridCol w:w="1084"/>
        <w:gridCol w:w="176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62" w:type="dxa"/>
            <w:vMerge w:val="restart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（修改前）</w:t>
            </w:r>
          </w:p>
        </w:tc>
        <w:tc>
          <w:tcPr>
            <w:tcW w:w="3231" w:type="dxa"/>
            <w:gridSpan w:val="3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增加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①</w:t>
            </w:r>
          </w:p>
        </w:tc>
        <w:tc>
          <w:tcPr>
            <w:tcW w:w="2352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减少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②</w:t>
            </w:r>
          </w:p>
        </w:tc>
        <w:tc>
          <w:tcPr>
            <w:tcW w:w="1084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净变化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①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-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②</w:t>
            </w:r>
          </w:p>
        </w:tc>
        <w:tc>
          <w:tcPr>
            <w:tcW w:w="1763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（修改后）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62" w:type="dxa"/>
            <w:vMerge w:val="continue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调入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切块调出还原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小计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建设用地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内部转换</w:t>
            </w:r>
          </w:p>
        </w:tc>
        <w:tc>
          <w:tcPr>
            <w:tcW w:w="11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小计</w:t>
            </w:r>
          </w:p>
        </w:tc>
        <w:tc>
          <w:tcPr>
            <w:tcW w:w="1084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763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762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663.16 </w:t>
            </w:r>
          </w:p>
        </w:tc>
        <w:tc>
          <w:tcPr>
            <w:tcW w:w="101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5.34 </w:t>
            </w:r>
          </w:p>
        </w:tc>
        <w:tc>
          <w:tcPr>
            <w:tcW w:w="1195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0.04 </w:t>
            </w:r>
          </w:p>
        </w:tc>
        <w:tc>
          <w:tcPr>
            <w:tcW w:w="102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5.38 </w:t>
            </w:r>
          </w:p>
        </w:tc>
        <w:tc>
          <w:tcPr>
            <w:tcW w:w="1229" w:type="dxa"/>
            <w:tcBorders>
              <w:top w:val="single" w:color="auto" w:sz="4" w:space="0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5.59 </w:t>
            </w:r>
          </w:p>
        </w:tc>
        <w:tc>
          <w:tcPr>
            <w:tcW w:w="1123" w:type="dxa"/>
            <w:tcBorders>
              <w:top w:val="nil"/>
              <w:left w:val="single" w:color="auto" w:sz="4" w:space="0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5.59 </w:t>
            </w:r>
          </w:p>
        </w:tc>
        <w:tc>
          <w:tcPr>
            <w:tcW w:w="108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-0.21 </w:t>
            </w:r>
          </w:p>
        </w:tc>
        <w:tc>
          <w:tcPr>
            <w:tcW w:w="1763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662.95 </w:t>
            </w:r>
          </w:p>
        </w:tc>
      </w:tr>
    </w:tbl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kern w:val="0"/>
          <w:sz w:val="28"/>
          <w:szCs w:val="28"/>
        </w:rPr>
      </w:pPr>
    </w:p>
    <w:p>
      <w:pPr>
        <w:spacing w:line="360" w:lineRule="auto"/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24"/>
          <w:szCs w:val="24"/>
        </w:rPr>
        <w:br w:type="column"/>
      </w:r>
      <w:bookmarkStart w:id="47" w:name="_Toc469235323"/>
      <w:bookmarkStart w:id="48" w:name="_Toc485909028"/>
      <w:bookmarkStart w:id="49" w:name="_Toc476734958"/>
      <w:r>
        <w:rPr>
          <w:rFonts w:ascii="Times New Roman" w:hAnsi="Times New Roman" w:eastAsia="黑体" w:cs="Times New Roman"/>
          <w:sz w:val="30"/>
          <w:szCs w:val="30"/>
        </w:rPr>
        <w:t>（三）采矿及其他独立建设用地</w:t>
      </w:r>
      <w:bookmarkEnd w:id="47"/>
      <w:bookmarkEnd w:id="48"/>
      <w:bookmarkEnd w:id="49"/>
    </w:p>
    <w:p>
      <w:pPr>
        <w:spacing w:line="360" w:lineRule="auto"/>
        <w:ind w:firstLine="562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增加</w:t>
      </w:r>
      <w:r>
        <w:rPr>
          <w:rFonts w:ascii="Times New Roman" w:hAnsi="Times New Roman" w:eastAsia="仿宋_GB2312" w:cs="Times New Roman"/>
          <w:sz w:val="28"/>
          <w:szCs w:val="28"/>
        </w:rPr>
        <w:t>：采矿及其他独立建设用地无调入增加。</w:t>
      </w:r>
    </w:p>
    <w:p>
      <w:pPr>
        <w:spacing w:line="360" w:lineRule="auto"/>
        <w:ind w:firstLine="562" w:firstLineChars="200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减少</w:t>
      </w:r>
      <w:r>
        <w:rPr>
          <w:rFonts w:ascii="Times New Roman" w:hAnsi="Times New Roman" w:eastAsia="仿宋_GB2312" w:cs="Times New Roman"/>
          <w:sz w:val="28"/>
          <w:szCs w:val="28"/>
        </w:rPr>
        <w:t>：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规划修改共减少采矿及其他独立建设用地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D:\\醴陵调整完善\\表格(净2013)\\乡镇表格\\8板杉镇\\乡镇规划附表.xlsx 采独!R5C9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5.93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公顷，其中因规划调出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D:\\醴陵调整完善\\表格(净2013)\\乡镇表格\\8板杉镇\\乡镇规划附表.xlsx 采独!R5C5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5.88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公顷，分布在长坡口村，建设用地内部转换减少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D:\\醴陵调整完善\\表格(净2013)\\乡镇表格\\8板杉镇\\乡镇规划附表.xlsx 采独!R5C6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0.05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公顷。</w:t>
      </w:r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修改后，采矿及其他独立建设用地规模由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D:\\醴陵调整完善\\表格(净2013)\\乡镇表格\\8板杉镇\\乡镇规划附表.xlsx 采独!R5C1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70.43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公顷调整为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D:\\醴陵调整完善\\表格(净2013)\\乡镇表格\\8板杉镇\\乡镇规划附表.xlsx 采独!R5C11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75.65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公顷，净增加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D:\\醴陵调整完善\\表格(净2013)\\乡镇表格\\8板杉镇\\乡镇规划附表.xlsx 采独!R5C10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5.22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D:\\醴陵调整完善\\表格(净2013)\\乡镇表格\\8板杉镇\\乡镇规划附表.xlsx 采独!R6C10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公顷。</w:t>
      </w:r>
    </w:p>
    <w:p>
      <w:pPr>
        <w:spacing w:line="360" w:lineRule="auto"/>
        <w:ind w:firstLine="480" w:firstLineChars="200"/>
        <w:jc w:val="center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表3板杉镇采矿及其他独立建设用地布局调整情况表</w:t>
      </w:r>
    </w:p>
    <w:p>
      <w:pPr>
        <w:snapToGrid w:val="0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单位：公顷</w:t>
      </w:r>
    </w:p>
    <w:tbl>
      <w:tblPr>
        <w:tblStyle w:val="18"/>
        <w:tblW w:w="1019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4"/>
        <w:gridCol w:w="899"/>
        <w:gridCol w:w="948"/>
        <w:gridCol w:w="952"/>
        <w:gridCol w:w="1227"/>
        <w:gridCol w:w="830"/>
        <w:gridCol w:w="1270"/>
        <w:gridCol w:w="203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34" w:type="dxa"/>
            <w:vMerge w:val="restart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年（修改前）</w:t>
            </w:r>
          </w:p>
        </w:tc>
        <w:tc>
          <w:tcPr>
            <w:tcW w:w="1847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增加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①</w:t>
            </w:r>
          </w:p>
        </w:tc>
        <w:tc>
          <w:tcPr>
            <w:tcW w:w="952" w:type="dxa"/>
            <w:tcBorders>
              <w:top w:val="double" w:color="auto" w:sz="6" w:space="0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057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减少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②</w:t>
            </w:r>
          </w:p>
        </w:tc>
        <w:tc>
          <w:tcPr>
            <w:tcW w:w="1270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净变化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①-②</w:t>
            </w:r>
          </w:p>
        </w:tc>
        <w:tc>
          <w:tcPr>
            <w:tcW w:w="2032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年（修改后）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34" w:type="dxa"/>
            <w:vMerge w:val="continue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调入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小计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调出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建设用地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内部转换</w:t>
            </w:r>
          </w:p>
        </w:tc>
        <w:tc>
          <w:tcPr>
            <w:tcW w:w="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小计</w:t>
            </w:r>
          </w:p>
        </w:tc>
        <w:tc>
          <w:tcPr>
            <w:tcW w:w="1270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032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3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70.43 </w:t>
            </w:r>
          </w:p>
        </w:tc>
        <w:tc>
          <w:tcPr>
            <w:tcW w:w="899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11.16 </w:t>
            </w:r>
          </w:p>
        </w:tc>
        <w:tc>
          <w:tcPr>
            <w:tcW w:w="948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11.16 </w:t>
            </w:r>
          </w:p>
        </w:tc>
        <w:tc>
          <w:tcPr>
            <w:tcW w:w="952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5.88 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0.05 </w:t>
            </w:r>
          </w:p>
        </w:tc>
        <w:tc>
          <w:tcPr>
            <w:tcW w:w="830" w:type="dxa"/>
            <w:tcBorders>
              <w:top w:val="nil"/>
              <w:left w:val="single" w:color="auto" w:sz="4" w:space="0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5.93 </w:t>
            </w:r>
          </w:p>
        </w:tc>
        <w:tc>
          <w:tcPr>
            <w:tcW w:w="127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5.22 </w:t>
            </w:r>
          </w:p>
        </w:tc>
        <w:tc>
          <w:tcPr>
            <w:tcW w:w="2032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75.65 </w:t>
            </w:r>
          </w:p>
        </w:tc>
      </w:tr>
    </w:tbl>
    <w:p>
      <w:pPr>
        <w:snapToGrid w:val="0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</w:p>
    <w:p>
      <w:pPr>
        <w:spacing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50" w:name="_Toc476734959"/>
      <w:bookmarkStart w:id="51" w:name="_Toc485909029"/>
      <w:bookmarkStart w:id="52" w:name="_Toc469235324"/>
      <w:r>
        <w:rPr>
          <w:rFonts w:ascii="Times New Roman" w:hAnsi="Times New Roman" w:eastAsia="黑体" w:cs="Times New Roman"/>
          <w:sz w:val="30"/>
          <w:szCs w:val="30"/>
        </w:rPr>
        <w:t>（四）交通水利用地</w:t>
      </w:r>
      <w:bookmarkEnd w:id="50"/>
      <w:bookmarkEnd w:id="51"/>
      <w:bookmarkEnd w:id="52"/>
    </w:p>
    <w:p>
      <w:pPr>
        <w:spacing w:line="360" w:lineRule="auto"/>
        <w:ind w:firstLine="562" w:firstLineChars="200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增加</w:t>
      </w:r>
      <w:r>
        <w:rPr>
          <w:rFonts w:ascii="Times New Roman" w:hAnsi="Times New Roman" w:eastAsia="仿宋_GB2312" w:cs="Times New Roman"/>
          <w:sz w:val="28"/>
          <w:szCs w:val="28"/>
        </w:rPr>
        <w:t>：规划修改因调入增加交通水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利用地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D:\\醴陵调整完善\\表格(净2013)\\乡镇表格\\8板杉镇\\乡镇规划附表.xlsx 交!R5C4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35.83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公顷，用于东城大道、莲株高速公路改造等交通项目建设。</w:t>
      </w:r>
    </w:p>
    <w:p>
      <w:pPr>
        <w:spacing w:line="360" w:lineRule="auto"/>
        <w:ind w:firstLine="562" w:firstLineChars="200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减少</w:t>
      </w:r>
      <w:r>
        <w:rPr>
          <w:rFonts w:ascii="Times New Roman" w:hAnsi="Times New Roman" w:eastAsia="仿宋_GB2312" w:cs="Times New Roman"/>
          <w:sz w:val="28"/>
          <w:szCs w:val="28"/>
        </w:rPr>
        <w:t>：规划修改因调剂预留指标减少交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通水利用地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D:\\醴陵调整完善\\表格(净2013)\\乡镇表格\\8板杉镇\\乡镇规划附表.xlsx 交!R5C9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20.00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公顷。</w:t>
      </w:r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4"/>
        </w:rPr>
        <w:t>修改后，交通水利用地规模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由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D:\\醴陵调整完善\\表格(净2013)\\乡镇表格\\8板杉镇\\乡镇规划附表.xlsx 交!R5C1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280.46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公顷调整为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D:\\醴陵调整完善\\表格(净2013)\\乡镇表格\\8板杉镇\\乡镇规划附表.xlsx 交!R5C11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296.29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公顷，净增加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D:\\醴陵调整完善\\表格(净2013)\\乡镇表格\\8板杉镇\\乡镇规划附表.xlsx 交!R5C10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15.83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公顷。</w:t>
      </w:r>
    </w:p>
    <w:p>
      <w:pPr>
        <w:widowControl/>
        <w:jc w:val="center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br w:type="column"/>
      </w:r>
      <w:r>
        <w:rPr>
          <w:rFonts w:ascii="Times New Roman" w:hAnsi="Times New Roman" w:eastAsia="黑体" w:cs="Times New Roman"/>
          <w:sz w:val="24"/>
          <w:szCs w:val="24"/>
        </w:rPr>
        <w:t>表4板杉镇交通水利用地布局调整情况表</w:t>
      </w:r>
    </w:p>
    <w:p>
      <w:pPr>
        <w:snapToGrid w:val="0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单位：公顷</w:t>
      </w:r>
    </w:p>
    <w:tbl>
      <w:tblPr>
        <w:tblStyle w:val="18"/>
        <w:tblW w:w="1019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1066"/>
        <w:gridCol w:w="1062"/>
        <w:gridCol w:w="1066"/>
        <w:gridCol w:w="1068"/>
        <w:gridCol w:w="1765"/>
        <w:gridCol w:w="19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65" w:type="dxa"/>
            <w:vMerge w:val="restart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年（修改前）</w:t>
            </w:r>
          </w:p>
        </w:tc>
        <w:tc>
          <w:tcPr>
            <w:tcW w:w="2128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增加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①</w:t>
            </w:r>
          </w:p>
        </w:tc>
        <w:tc>
          <w:tcPr>
            <w:tcW w:w="2134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减少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②</w:t>
            </w:r>
          </w:p>
        </w:tc>
        <w:tc>
          <w:tcPr>
            <w:tcW w:w="1765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净变化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①-②</w:t>
            </w:r>
          </w:p>
        </w:tc>
        <w:tc>
          <w:tcPr>
            <w:tcW w:w="1900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（修改后）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65" w:type="dxa"/>
            <w:vMerge w:val="continue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调入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小计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调剂预留指标</w:t>
            </w:r>
          </w:p>
        </w:tc>
        <w:tc>
          <w:tcPr>
            <w:tcW w:w="10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小计</w:t>
            </w:r>
          </w:p>
        </w:tc>
        <w:tc>
          <w:tcPr>
            <w:tcW w:w="1765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900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65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280.46 </w:t>
            </w:r>
          </w:p>
        </w:tc>
        <w:tc>
          <w:tcPr>
            <w:tcW w:w="1066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35.83 </w:t>
            </w:r>
          </w:p>
        </w:tc>
        <w:tc>
          <w:tcPr>
            <w:tcW w:w="1062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35.83 </w:t>
            </w:r>
          </w:p>
        </w:tc>
        <w:tc>
          <w:tcPr>
            <w:tcW w:w="1066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20.00 </w:t>
            </w:r>
          </w:p>
        </w:tc>
        <w:tc>
          <w:tcPr>
            <w:tcW w:w="1068" w:type="dxa"/>
            <w:tcBorders>
              <w:top w:val="nil"/>
              <w:left w:val="single" w:color="auto" w:sz="4" w:space="0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20.00 </w:t>
            </w:r>
          </w:p>
        </w:tc>
        <w:tc>
          <w:tcPr>
            <w:tcW w:w="1765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15.83 </w:t>
            </w:r>
          </w:p>
        </w:tc>
        <w:tc>
          <w:tcPr>
            <w:tcW w:w="1900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296.29 </w:t>
            </w:r>
          </w:p>
        </w:tc>
      </w:tr>
    </w:tbl>
    <w:p>
      <w:pPr>
        <w:spacing w:beforeLines="50" w:line="360" w:lineRule="auto"/>
        <w:jc w:val="left"/>
        <w:outlineLvl w:val="1"/>
        <w:rPr>
          <w:rFonts w:ascii="Times New Roman" w:hAnsi="Times New Roman" w:eastAsia="仿宋_GB2312" w:cs="Times New Roman"/>
          <w:kern w:val="0"/>
          <w:sz w:val="28"/>
          <w:szCs w:val="28"/>
        </w:rPr>
      </w:pPr>
      <w:bookmarkStart w:id="53" w:name="_Toc485909030"/>
      <w:bookmarkStart w:id="54" w:name="_Toc476734960"/>
      <w:bookmarkStart w:id="55" w:name="_Toc469235325"/>
      <w:r>
        <w:rPr>
          <w:rFonts w:ascii="Times New Roman" w:hAnsi="Times New Roman" w:eastAsia="黑体" w:cs="Times New Roman"/>
          <w:sz w:val="30"/>
          <w:szCs w:val="30"/>
        </w:rPr>
        <w:t>（五）其他建设用地</w:t>
      </w:r>
      <w:bookmarkEnd w:id="53"/>
      <w:bookmarkEnd w:id="54"/>
      <w:bookmarkEnd w:id="55"/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4"/>
        </w:rPr>
      </w:pPr>
      <w:bookmarkStart w:id="56" w:name="_Toc469235329"/>
      <w:bookmarkStart w:id="57" w:name="_Toc476734961"/>
      <w:r>
        <w:rPr>
          <w:rFonts w:ascii="Times New Roman" w:hAnsi="Times New Roman" w:eastAsia="仿宋_GB2312" w:cs="Times New Roman"/>
          <w:kern w:val="0"/>
          <w:sz w:val="28"/>
          <w:szCs w:val="28"/>
        </w:rPr>
        <w:t>本次调整完善不涉及其他建设用地的调整，保持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D:\\醴陵调整完善\\表格(净2013)\\乡镇表格\\8板杉镇\\乡镇规划附表.xlsx 其!R5C11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1.51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</w:t>
      </w:r>
      <w:r>
        <w:rPr>
          <w:rFonts w:ascii="Times New Roman" w:hAnsi="Times New Roman" w:eastAsia="仿宋_GB2312" w:cs="Times New Roman"/>
          <w:sz w:val="28"/>
          <w:szCs w:val="24"/>
        </w:rPr>
        <w:t>不变。</w:t>
      </w:r>
    </w:p>
    <w:p>
      <w:pPr>
        <w:spacing w:beforeLines="50" w:line="360" w:lineRule="auto"/>
        <w:jc w:val="left"/>
        <w:outlineLvl w:val="0"/>
        <w:rPr>
          <w:rFonts w:ascii="Times New Roman" w:hAnsi="Times New Roman" w:eastAsia="黑体" w:cs="Times New Roman"/>
          <w:kern w:val="0"/>
          <w:sz w:val="32"/>
          <w:szCs w:val="32"/>
        </w:rPr>
      </w:pPr>
      <w:bookmarkStart w:id="58" w:name="_Toc485909031"/>
      <w:r>
        <w:rPr>
          <w:rFonts w:ascii="Times New Roman" w:hAnsi="Times New Roman" w:eastAsia="黑体" w:cs="Times New Roman"/>
          <w:kern w:val="0"/>
          <w:sz w:val="32"/>
          <w:szCs w:val="32"/>
        </w:rPr>
        <w:t>六、</w:t>
      </w:r>
      <w:bookmarkEnd w:id="56"/>
      <w:r>
        <w:rPr>
          <w:rFonts w:ascii="Times New Roman" w:hAnsi="Times New Roman" w:eastAsia="黑体" w:cs="Times New Roman"/>
          <w:kern w:val="0"/>
          <w:sz w:val="32"/>
          <w:szCs w:val="32"/>
        </w:rPr>
        <w:t>土地利用分区调整情况</w:t>
      </w:r>
      <w:bookmarkEnd w:id="57"/>
      <w:bookmarkEnd w:id="58"/>
    </w:p>
    <w:p>
      <w:pPr>
        <w:spacing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59" w:name="_Toc485909032"/>
      <w:bookmarkStart w:id="60" w:name="_Toc476734962"/>
      <w:bookmarkStart w:id="61" w:name="_Toc469235330"/>
      <w:r>
        <w:rPr>
          <w:rFonts w:ascii="Times New Roman" w:hAnsi="Times New Roman" w:eastAsia="黑体" w:cs="Times New Roman"/>
          <w:sz w:val="30"/>
          <w:szCs w:val="30"/>
        </w:rPr>
        <w:t>（一）土地用途分区修改</w:t>
      </w:r>
      <w:bookmarkEnd w:id="59"/>
      <w:bookmarkEnd w:id="60"/>
      <w:bookmarkEnd w:id="61"/>
    </w:p>
    <w:p>
      <w:pPr>
        <w:ind w:firstLine="560" w:firstLineChars="200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修改后，将板杉镇土地划分为七个用途区，包括：基本农田保护区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D:\\醴陵调整完善\\表格(净2013)\\乡镇表格\\8板杉镇\\乡镇规划附表.xlsx 用途区!R3C3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2518.47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公顷、一般农地区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388.89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公顷、城镇建设用地区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D:\\醴陵调整完善\\表格(净2013)\\乡镇表格\\8板杉镇\\乡镇规划附表.xlsx 用途区!R5C3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4.65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公顷、村镇建设用地区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D:\\醴陵调整完善\\表格(净2013)\\乡镇表格\\8板杉镇\\乡镇规划附表.xlsx 用途区!R6C3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681.25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公顷、独立工矿区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D:\\醴陵调整完善\\表格(净2013)\\乡镇表格\\8板杉镇\\乡镇规划附表.xlsx 用途区!R7C3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76.59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公顷、风景旅游用地区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D:\\醴陵调整完善\\表格(净2013)\\乡镇表格\\8板杉镇\\乡镇规划附表.xlsx 用途区!R8C3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0.67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公顷和林业用地区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D:\\醴陵调整完善\\表格(净2013)\\乡镇表格\\8板杉镇\\乡镇规划附表.xlsx 用途区!R10C3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4755.62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公顷。</w:t>
      </w:r>
    </w:p>
    <w:bookmarkEnd w:id="31"/>
    <w:bookmarkEnd w:id="32"/>
    <w:bookmarkEnd w:id="33"/>
    <w:p>
      <w:pPr>
        <w:spacing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62" w:name="_Toc485909033"/>
      <w:bookmarkStart w:id="63" w:name="_Toc476734963"/>
      <w:bookmarkStart w:id="64" w:name="_Toc469235331"/>
      <w:r>
        <w:rPr>
          <w:rFonts w:ascii="Times New Roman" w:hAnsi="Times New Roman" w:eastAsia="黑体" w:cs="Times New Roman"/>
          <w:sz w:val="30"/>
          <w:szCs w:val="30"/>
        </w:rPr>
        <w:t>（二）建设用地管制分区修改</w:t>
      </w:r>
      <w:bookmarkEnd w:id="62"/>
      <w:bookmarkEnd w:id="63"/>
      <w:bookmarkEnd w:id="64"/>
    </w:p>
    <w:p>
      <w:pPr>
        <w:ind w:firstLine="560" w:firstLineChars="200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为加强对城乡建设用地的空间管制，本次规划修改，根据土地管理需要，因地制宜地将规划范围内的土地划分为两个区，分别为允许建设区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D:\\醴陵调整完善\\表格(净2013)\\乡镇表格\\8板杉镇\\乡镇规划附表.xlsx 管制区!R3C3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742.75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公顷、限制建设区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D:\\醴陵调整完善\\表格(净2013)\\乡镇表格\\8板杉镇\\乡镇规划附表.xlsx 管制区!R5C3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8251.20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公顷。其中：允许建设区较修改前增加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D:\\醴陵调整完善\\表格(净2013)\\乡镇表格\\8板杉镇\\乡镇规划附表.xlsx 管制区!R5C4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5.01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公顷，限制建设区较修改前减少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D:\\醴陵调整完善\\表格(净2013)\\乡镇表格\\8板杉镇\\乡镇规划附表.xlsx 管制区!R5C4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5.01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公顷。</w:t>
      </w:r>
    </w:p>
    <w:p>
      <w:pPr>
        <w:spacing w:beforeLines="50" w:afterLines="50" w:line="360" w:lineRule="auto"/>
        <w:jc w:val="left"/>
        <w:outlineLvl w:val="0"/>
        <w:rPr>
          <w:rFonts w:ascii="Times New Roman" w:hAnsi="Times New Roman" w:eastAsia="黑体" w:cs="Times New Roman"/>
          <w:kern w:val="0"/>
          <w:sz w:val="32"/>
          <w:szCs w:val="32"/>
        </w:rPr>
      </w:pPr>
      <w:bookmarkStart w:id="65" w:name="_Toc469235332"/>
      <w:bookmarkStart w:id="66" w:name="_Toc476734964"/>
      <w:r>
        <w:rPr>
          <w:rFonts w:ascii="Times New Roman" w:hAnsi="Times New Roman" w:eastAsia="黑体" w:cs="Times New Roman"/>
          <w:kern w:val="0"/>
          <w:sz w:val="32"/>
          <w:szCs w:val="32"/>
        </w:rPr>
        <w:br w:type="column"/>
      </w:r>
      <w:bookmarkStart w:id="67" w:name="_Toc485909034"/>
      <w:r>
        <w:rPr>
          <w:rFonts w:ascii="Times New Roman" w:hAnsi="Times New Roman" w:eastAsia="黑体" w:cs="Times New Roman"/>
          <w:kern w:val="0"/>
          <w:sz w:val="32"/>
          <w:szCs w:val="32"/>
        </w:rPr>
        <w:t>附表</w:t>
      </w:r>
      <w:bookmarkEnd w:id="65"/>
      <w:bookmarkEnd w:id="66"/>
      <w:bookmarkEnd w:id="67"/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68" w:name="_Toc476734965"/>
      <w:bookmarkStart w:id="69" w:name="_Toc485909035"/>
      <w:r>
        <w:rPr>
          <w:rFonts w:ascii="Times New Roman" w:hAnsi="Times New Roman" w:eastAsia="黑体" w:cs="Times New Roman"/>
          <w:sz w:val="24"/>
          <w:szCs w:val="24"/>
        </w:rPr>
        <w:t>附表1  板杉镇土地利用现状表（2014年）</w:t>
      </w:r>
      <w:bookmarkEnd w:id="68"/>
      <w:bookmarkEnd w:id="69"/>
    </w:p>
    <w:p>
      <w:pPr>
        <w:widowControl/>
        <w:spacing w:line="240" w:lineRule="exact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单位：公顷、%</w:t>
      </w:r>
    </w:p>
    <w:tbl>
      <w:tblPr>
        <w:tblStyle w:val="18"/>
        <w:tblW w:w="10192" w:type="dxa"/>
        <w:tblInd w:w="0" w:type="dxa"/>
        <w:tblBorders>
          <w:top w:val="double" w:color="auto" w:sz="6" w:space="0"/>
          <w:left w:val="none" w:color="auto" w:sz="0" w:space="0"/>
          <w:bottom w:val="double" w:color="auto" w:sz="6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3"/>
        <w:gridCol w:w="1480"/>
        <w:gridCol w:w="2566"/>
        <w:gridCol w:w="2413"/>
        <w:gridCol w:w="2110"/>
      </w:tblGrid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69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地类</w:t>
            </w:r>
          </w:p>
        </w:tc>
        <w:tc>
          <w:tcPr>
            <w:tcW w:w="452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2014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69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面积</w:t>
            </w:r>
          </w:p>
        </w:tc>
        <w:tc>
          <w:tcPr>
            <w:tcW w:w="21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比重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69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土地总面积</w:t>
            </w:r>
          </w:p>
        </w:tc>
        <w:tc>
          <w:tcPr>
            <w:tcW w:w="241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8993.95</w:t>
            </w:r>
          </w:p>
        </w:tc>
        <w:tc>
          <w:tcPr>
            <w:tcW w:w="211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100.00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2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农用地</w:t>
            </w:r>
          </w:p>
        </w:tc>
        <w:tc>
          <w:tcPr>
            <w:tcW w:w="404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耕地</w:t>
            </w:r>
          </w:p>
        </w:tc>
        <w:tc>
          <w:tcPr>
            <w:tcW w:w="241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2430.30</w:t>
            </w:r>
          </w:p>
        </w:tc>
        <w:tc>
          <w:tcPr>
            <w:tcW w:w="211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27.02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404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园地</w:t>
            </w:r>
          </w:p>
        </w:tc>
        <w:tc>
          <w:tcPr>
            <w:tcW w:w="241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42.12</w:t>
            </w:r>
          </w:p>
        </w:tc>
        <w:tc>
          <w:tcPr>
            <w:tcW w:w="211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0.47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404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林地</w:t>
            </w:r>
          </w:p>
        </w:tc>
        <w:tc>
          <w:tcPr>
            <w:tcW w:w="241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4801.64</w:t>
            </w:r>
          </w:p>
        </w:tc>
        <w:tc>
          <w:tcPr>
            <w:tcW w:w="211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53.39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404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牧草地</w:t>
            </w:r>
          </w:p>
        </w:tc>
        <w:tc>
          <w:tcPr>
            <w:tcW w:w="241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</w:t>
            </w:r>
          </w:p>
        </w:tc>
        <w:tc>
          <w:tcPr>
            <w:tcW w:w="211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404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其他农用地</w:t>
            </w:r>
          </w:p>
        </w:tc>
        <w:tc>
          <w:tcPr>
            <w:tcW w:w="241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659.23</w:t>
            </w:r>
          </w:p>
        </w:tc>
        <w:tc>
          <w:tcPr>
            <w:tcW w:w="211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7.33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404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合计</w:t>
            </w:r>
          </w:p>
        </w:tc>
        <w:tc>
          <w:tcPr>
            <w:tcW w:w="241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7933.29</w:t>
            </w:r>
          </w:p>
        </w:tc>
        <w:tc>
          <w:tcPr>
            <w:tcW w:w="211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88.21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2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建设用地</w:t>
            </w:r>
          </w:p>
        </w:tc>
        <w:tc>
          <w:tcPr>
            <w:tcW w:w="148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城乡建设用地</w:t>
            </w:r>
          </w:p>
        </w:tc>
        <w:tc>
          <w:tcPr>
            <w:tcW w:w="25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城镇用地</w:t>
            </w:r>
          </w:p>
        </w:tc>
        <w:tc>
          <w:tcPr>
            <w:tcW w:w="241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4.15</w:t>
            </w:r>
          </w:p>
        </w:tc>
        <w:tc>
          <w:tcPr>
            <w:tcW w:w="211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0.05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48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农村居民点用地</w:t>
            </w:r>
          </w:p>
        </w:tc>
        <w:tc>
          <w:tcPr>
            <w:tcW w:w="241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745.39</w:t>
            </w:r>
          </w:p>
        </w:tc>
        <w:tc>
          <w:tcPr>
            <w:tcW w:w="211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8.29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48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采矿用地</w:t>
            </w:r>
          </w:p>
        </w:tc>
        <w:tc>
          <w:tcPr>
            <w:tcW w:w="241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34.89</w:t>
            </w:r>
          </w:p>
        </w:tc>
        <w:tc>
          <w:tcPr>
            <w:tcW w:w="211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0.39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48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其他独立建设用地</w:t>
            </w:r>
          </w:p>
        </w:tc>
        <w:tc>
          <w:tcPr>
            <w:tcW w:w="241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</w:t>
            </w:r>
          </w:p>
        </w:tc>
        <w:tc>
          <w:tcPr>
            <w:tcW w:w="211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48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小计</w:t>
            </w:r>
          </w:p>
        </w:tc>
        <w:tc>
          <w:tcPr>
            <w:tcW w:w="241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784.43</w:t>
            </w:r>
          </w:p>
        </w:tc>
        <w:tc>
          <w:tcPr>
            <w:tcW w:w="211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8.72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404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交通水利用地</w:t>
            </w:r>
          </w:p>
        </w:tc>
        <w:tc>
          <w:tcPr>
            <w:tcW w:w="241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190.35</w:t>
            </w:r>
          </w:p>
        </w:tc>
        <w:tc>
          <w:tcPr>
            <w:tcW w:w="211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2.12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404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其他建设用地</w:t>
            </w:r>
          </w:p>
        </w:tc>
        <w:tc>
          <w:tcPr>
            <w:tcW w:w="241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1.50</w:t>
            </w:r>
          </w:p>
        </w:tc>
        <w:tc>
          <w:tcPr>
            <w:tcW w:w="211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0.02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404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合计</w:t>
            </w:r>
          </w:p>
        </w:tc>
        <w:tc>
          <w:tcPr>
            <w:tcW w:w="241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976.28</w:t>
            </w:r>
          </w:p>
        </w:tc>
        <w:tc>
          <w:tcPr>
            <w:tcW w:w="211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10.85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2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其他土地</w:t>
            </w:r>
          </w:p>
        </w:tc>
        <w:tc>
          <w:tcPr>
            <w:tcW w:w="404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水域</w:t>
            </w:r>
          </w:p>
        </w:tc>
        <w:tc>
          <w:tcPr>
            <w:tcW w:w="241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44.20</w:t>
            </w:r>
          </w:p>
        </w:tc>
        <w:tc>
          <w:tcPr>
            <w:tcW w:w="211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0.49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404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自然保留地</w:t>
            </w:r>
          </w:p>
        </w:tc>
        <w:tc>
          <w:tcPr>
            <w:tcW w:w="241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40.18</w:t>
            </w:r>
          </w:p>
        </w:tc>
        <w:tc>
          <w:tcPr>
            <w:tcW w:w="211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0.45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404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合计</w:t>
            </w:r>
          </w:p>
        </w:tc>
        <w:tc>
          <w:tcPr>
            <w:tcW w:w="241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84.38</w:t>
            </w:r>
          </w:p>
        </w:tc>
        <w:tc>
          <w:tcPr>
            <w:tcW w:w="211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0.94</w:t>
            </w:r>
          </w:p>
        </w:tc>
      </w:tr>
    </w:tbl>
    <w:p>
      <w:pPr>
        <w:widowControl/>
        <w:spacing w:line="240" w:lineRule="exact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</w:p>
    <w:p>
      <w:pPr>
        <w:spacing w:beforeLines="50" w:afterLines="50" w:line="360" w:lineRule="auto"/>
        <w:jc w:val="left"/>
        <w:outlineLvl w:val="0"/>
        <w:rPr>
          <w:rFonts w:ascii="Times New Roman" w:hAnsi="Times New Roman" w:eastAsia="黑体" w:cs="Times New Roman"/>
          <w:kern w:val="0"/>
          <w:sz w:val="32"/>
          <w:szCs w:val="32"/>
        </w:rPr>
        <w:sectPr>
          <w:headerReference r:id="rId5" w:type="default"/>
          <w:footerReference r:id="rId6" w:type="default"/>
          <w:pgSz w:w="23814" w:h="16839"/>
          <w:pgMar w:top="1440" w:right="1440" w:bottom="1440" w:left="1701" w:header="851" w:footer="992" w:gutter="0"/>
          <w:pgNumType w:start="1"/>
          <w:cols w:space="720" w:num="2"/>
          <w:docGrid w:type="lines" w:linePitch="312" w:charSpace="0"/>
        </w:sect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70" w:name="_Toc476734966"/>
      <w:bookmarkStart w:id="71" w:name="_Toc485909036"/>
      <w:bookmarkStart w:id="72" w:name="_Toc469235333"/>
      <w:r>
        <w:rPr>
          <w:rFonts w:ascii="Times New Roman" w:hAnsi="Times New Roman" w:eastAsia="黑体" w:cs="Times New Roman"/>
          <w:sz w:val="24"/>
          <w:szCs w:val="24"/>
        </w:rPr>
        <w:t>附表2板杉镇土地利用结构调整表</w:t>
      </w:r>
      <w:bookmarkEnd w:id="70"/>
      <w:bookmarkEnd w:id="71"/>
    </w:p>
    <w:p>
      <w:pPr>
        <w:widowControl/>
        <w:spacing w:line="240" w:lineRule="exact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单位:公顷、%</w:t>
      </w:r>
    </w:p>
    <w:tbl>
      <w:tblPr>
        <w:tblStyle w:val="18"/>
        <w:tblW w:w="2088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1140"/>
        <w:gridCol w:w="1989"/>
        <w:gridCol w:w="1801"/>
        <w:gridCol w:w="1730"/>
        <w:gridCol w:w="1801"/>
        <w:gridCol w:w="1621"/>
        <w:gridCol w:w="1838"/>
        <w:gridCol w:w="1730"/>
        <w:gridCol w:w="1692"/>
        <w:gridCol w:w="1692"/>
        <w:gridCol w:w="260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77" w:type="dxa"/>
            <w:gridSpan w:val="3"/>
            <w:vMerge w:val="restart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地类</w:t>
            </w:r>
          </w:p>
        </w:tc>
        <w:tc>
          <w:tcPr>
            <w:tcW w:w="3531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2005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3422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2014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3568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规划修改前（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年）</w:t>
            </w:r>
          </w:p>
        </w:tc>
        <w:tc>
          <w:tcPr>
            <w:tcW w:w="3384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规划修改后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(2020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2607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年（修改后）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-2014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77" w:type="dxa"/>
            <w:gridSpan w:val="3"/>
            <w:vMerge w:val="continue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面积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比重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面积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比重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面积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比重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面积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比重</w:t>
            </w:r>
          </w:p>
        </w:tc>
        <w:tc>
          <w:tcPr>
            <w:tcW w:w="2607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土地总面积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8993.95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100.00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8993.95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100.00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8993.95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100.00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8993.95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100.00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农用地</w:t>
            </w:r>
          </w:p>
        </w:tc>
        <w:tc>
          <w:tcPr>
            <w:tcW w:w="31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耕地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2414.52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26.85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2430.30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27.02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2506.28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27.87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2418.77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26.89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-11.53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31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园地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42.82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0.48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42.12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0.47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124.19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1.38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124.08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1.38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81.96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31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林地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4812.77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53.51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4801.64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53.39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4725.59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52.54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4729.39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52.58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-72.25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31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牧草地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31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其他农用地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658.19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7.32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659.23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7.33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562.46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6.25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625.50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6.95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-33.73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31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7928.30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88.15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7933.29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88.21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7918.52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88.04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7897.74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87.81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-35.55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建设用地</w:t>
            </w:r>
          </w:p>
        </w:tc>
        <w:tc>
          <w:tcPr>
            <w:tcW w:w="11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城乡建设用地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城镇用地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4.15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0.05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4.15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0.05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4.15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0.05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4.15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0.05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农村居民点用地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741.13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8.24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745.39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8.29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663.16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7.37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662.95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7.37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-82.44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采矿用地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31.14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0.35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34.89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0.39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31.14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0.35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31.09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0.35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-3.80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其他独立建设用地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39.29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0.44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44.56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0.50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44.56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小计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776.42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8.63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784.43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8.72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737.74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8.20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742.75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8.26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-41.68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31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交通水利用地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203.38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2.26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190.35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2.12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280.46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3.12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296.29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3.29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105.94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31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其他建设用地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1.51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0.02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1.50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0.02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1.51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0.02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1.51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0.02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31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981.31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10.91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976.28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10.85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1019.71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11.34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1040.55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11.57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64.27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8" w:type="dxa"/>
            <w:vMerge w:val="restart"/>
            <w:tcBorders>
              <w:top w:val="nil"/>
              <w:left w:val="nil"/>
              <w:bottom w:val="doub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其他土地</w:t>
            </w:r>
          </w:p>
        </w:tc>
        <w:tc>
          <w:tcPr>
            <w:tcW w:w="31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水域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44.20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0.49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44.20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0.49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43.58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0.48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43.54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0.48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-0.66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8" w:type="dxa"/>
            <w:vMerge w:val="continue"/>
            <w:tcBorders>
              <w:top w:val="nil"/>
              <w:left w:val="nil"/>
              <w:bottom w:val="doub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31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自然保留地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40.14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0.45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40.18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0.45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12.14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0.13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12.12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0.13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-28.06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8" w:type="dxa"/>
            <w:vMerge w:val="continue"/>
            <w:tcBorders>
              <w:top w:val="nil"/>
              <w:left w:val="nil"/>
              <w:bottom w:val="doub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3129" w:type="dxa"/>
            <w:gridSpan w:val="2"/>
            <w:tcBorders>
              <w:top w:val="single" w:color="auto" w:sz="4" w:space="0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80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84.34</w:t>
            </w:r>
          </w:p>
        </w:tc>
        <w:tc>
          <w:tcPr>
            <w:tcW w:w="173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0.94</w:t>
            </w:r>
          </w:p>
        </w:tc>
        <w:tc>
          <w:tcPr>
            <w:tcW w:w="180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84.38</w:t>
            </w:r>
          </w:p>
        </w:tc>
        <w:tc>
          <w:tcPr>
            <w:tcW w:w="162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0.94</w:t>
            </w:r>
          </w:p>
        </w:tc>
        <w:tc>
          <w:tcPr>
            <w:tcW w:w="1838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55.72</w:t>
            </w:r>
          </w:p>
        </w:tc>
        <w:tc>
          <w:tcPr>
            <w:tcW w:w="173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0.62</w:t>
            </w:r>
          </w:p>
        </w:tc>
        <w:tc>
          <w:tcPr>
            <w:tcW w:w="1692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55.66</w:t>
            </w:r>
          </w:p>
        </w:tc>
        <w:tc>
          <w:tcPr>
            <w:tcW w:w="1692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0.62</w:t>
            </w:r>
          </w:p>
        </w:tc>
        <w:tc>
          <w:tcPr>
            <w:tcW w:w="2607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-28.72</w:t>
            </w:r>
          </w:p>
        </w:tc>
      </w:tr>
    </w:tbl>
    <w:p>
      <w:pPr>
        <w:widowControl/>
        <w:spacing w:line="240" w:lineRule="exact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</w:p>
    <w:p>
      <w:pPr>
        <w:jc w:val="center"/>
        <w:rPr>
          <w:rFonts w:ascii="Times New Roman" w:hAnsi="Times New Roman" w:eastAsia="黑体" w:cs="Times New Roman"/>
          <w:sz w:val="24"/>
          <w:szCs w:val="24"/>
        </w:rPr>
      </w:pPr>
    </w:p>
    <w:p>
      <w:pPr>
        <w:widowControl/>
        <w:jc w:val="left"/>
        <w:rPr>
          <w:rFonts w:ascii="Times New Roman" w:hAnsi="Times New Roman" w:eastAsia="黑体" w:cs="Times New Roman"/>
          <w:sz w:val="24"/>
          <w:szCs w:val="24"/>
        </w:rPr>
        <w:sectPr>
          <w:pgSz w:w="23814" w:h="16839"/>
          <w:pgMar w:top="1440" w:right="1440" w:bottom="1440" w:left="1701" w:header="851" w:footer="992" w:gutter="0"/>
          <w:cols w:space="720" w:num="1"/>
          <w:docGrid w:type="lines" w:linePitch="312" w:charSpace="0"/>
        </w:sect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73" w:name="_Toc476734967"/>
      <w:bookmarkStart w:id="74" w:name="_Toc485909037"/>
      <w:r>
        <w:rPr>
          <w:rFonts w:ascii="Times New Roman" w:hAnsi="Times New Roman" w:eastAsia="黑体" w:cs="Times New Roman"/>
          <w:sz w:val="24"/>
          <w:szCs w:val="24"/>
        </w:rPr>
        <w:t>附表3板杉镇</w:t>
      </w:r>
      <w:bookmarkEnd w:id="72"/>
      <w:r>
        <w:rPr>
          <w:rFonts w:ascii="Times New Roman" w:hAnsi="Times New Roman" w:eastAsia="黑体" w:cs="Times New Roman"/>
          <w:sz w:val="24"/>
          <w:szCs w:val="24"/>
        </w:rPr>
        <w:t>土地利用规划目标调整表</w:t>
      </w:r>
      <w:bookmarkEnd w:id="73"/>
      <w:bookmarkEnd w:id="74"/>
    </w:p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单位:公顷</w:t>
      </w:r>
    </w:p>
    <w:tbl>
      <w:tblPr>
        <w:tblStyle w:val="18"/>
        <w:tblW w:w="20889" w:type="dxa"/>
        <w:tblInd w:w="0" w:type="dxa"/>
        <w:tblBorders>
          <w:top w:val="double" w:color="auto" w:sz="6" w:space="0"/>
          <w:left w:val="none" w:color="auto" w:sz="0" w:space="0"/>
          <w:bottom w:val="double" w:color="auto" w:sz="6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6910"/>
        <w:gridCol w:w="3940"/>
        <w:gridCol w:w="3200"/>
        <w:gridCol w:w="2853"/>
        <w:gridCol w:w="2745"/>
      </w:tblGrid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151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指标名称</w:t>
            </w:r>
          </w:p>
        </w:tc>
        <w:tc>
          <w:tcPr>
            <w:tcW w:w="394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规划修改前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①</w:t>
            </w:r>
          </w:p>
        </w:tc>
        <w:tc>
          <w:tcPr>
            <w:tcW w:w="32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规划修改后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②</w:t>
            </w:r>
          </w:p>
        </w:tc>
        <w:tc>
          <w:tcPr>
            <w:tcW w:w="285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差值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②-①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指标属性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41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总量目标</w:t>
            </w:r>
          </w:p>
        </w:tc>
        <w:tc>
          <w:tcPr>
            <w:tcW w:w="691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耕地保有量</w:t>
            </w:r>
          </w:p>
        </w:tc>
        <w:tc>
          <w:tcPr>
            <w:tcW w:w="39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2497.00</w:t>
            </w:r>
          </w:p>
        </w:tc>
        <w:tc>
          <w:tcPr>
            <w:tcW w:w="32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2416.00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-81.00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约束性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4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691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基本农田保护面积</w:t>
            </w:r>
          </w:p>
        </w:tc>
        <w:tc>
          <w:tcPr>
            <w:tcW w:w="39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2236.08</w:t>
            </w:r>
          </w:p>
        </w:tc>
        <w:tc>
          <w:tcPr>
            <w:tcW w:w="32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2191.00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-45.08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约束性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4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691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建设用地总规模</w:t>
            </w:r>
          </w:p>
        </w:tc>
        <w:tc>
          <w:tcPr>
            <w:tcW w:w="39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1019.71</w:t>
            </w:r>
          </w:p>
        </w:tc>
        <w:tc>
          <w:tcPr>
            <w:tcW w:w="32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1040.55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20.84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预期性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4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691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城乡建设用地规模</w:t>
            </w:r>
          </w:p>
        </w:tc>
        <w:tc>
          <w:tcPr>
            <w:tcW w:w="39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737.74</w:t>
            </w:r>
          </w:p>
        </w:tc>
        <w:tc>
          <w:tcPr>
            <w:tcW w:w="32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742.75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5.01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约束性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4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691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城镇工矿用地规模</w:t>
            </w:r>
          </w:p>
        </w:tc>
        <w:tc>
          <w:tcPr>
            <w:tcW w:w="39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74.58</w:t>
            </w:r>
          </w:p>
        </w:tc>
        <w:tc>
          <w:tcPr>
            <w:tcW w:w="32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79.80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5.22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预期性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41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增量目标</w:t>
            </w:r>
          </w:p>
        </w:tc>
        <w:tc>
          <w:tcPr>
            <w:tcW w:w="691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新增建设用地规模</w:t>
            </w:r>
          </w:p>
        </w:tc>
        <w:tc>
          <w:tcPr>
            <w:tcW w:w="39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137.91</w:t>
            </w:r>
          </w:p>
        </w:tc>
        <w:tc>
          <w:tcPr>
            <w:tcW w:w="32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158.75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20.84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预期性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4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691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新增建设占用农用地规模</w:t>
            </w:r>
          </w:p>
        </w:tc>
        <w:tc>
          <w:tcPr>
            <w:tcW w:w="39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136.15</w:t>
            </w:r>
          </w:p>
        </w:tc>
        <w:tc>
          <w:tcPr>
            <w:tcW w:w="32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156.93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20.78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预期性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4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691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新增建设占用耕地规模</w:t>
            </w:r>
          </w:p>
        </w:tc>
        <w:tc>
          <w:tcPr>
            <w:tcW w:w="39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35.11</w:t>
            </w:r>
          </w:p>
        </w:tc>
        <w:tc>
          <w:tcPr>
            <w:tcW w:w="32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53.06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17.95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约束性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4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691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补充耕地任务量</w:t>
            </w:r>
          </w:p>
        </w:tc>
        <w:tc>
          <w:tcPr>
            <w:tcW w:w="39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127.43</w:t>
            </w:r>
          </w:p>
        </w:tc>
        <w:tc>
          <w:tcPr>
            <w:tcW w:w="32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57.87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-69.56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约束性</w:t>
            </w:r>
          </w:p>
        </w:tc>
      </w:tr>
    </w:tbl>
    <w:p>
      <w:pPr>
        <w:rPr>
          <w:rFonts w:ascii="Times New Roman" w:hAnsi="Times New Roman" w:cs="Times New Roman"/>
          <w:sz w:val="28"/>
          <w:szCs w:val="24"/>
        </w:r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75" w:name="_Toc485909038"/>
      <w:bookmarkStart w:id="76" w:name="_Toc476734968"/>
      <w:r>
        <w:rPr>
          <w:rFonts w:ascii="Times New Roman" w:hAnsi="Times New Roman" w:eastAsia="黑体" w:cs="Times New Roman"/>
          <w:sz w:val="24"/>
          <w:szCs w:val="24"/>
        </w:rPr>
        <w:t>附表4板杉镇落实上一级土地利用规划指标情况表</w:t>
      </w:r>
      <w:bookmarkEnd w:id="75"/>
      <w:bookmarkEnd w:id="76"/>
    </w:p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单位:公顷</w:t>
      </w:r>
    </w:p>
    <w:tbl>
      <w:tblPr>
        <w:tblStyle w:val="18"/>
        <w:tblW w:w="2088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6923"/>
        <w:gridCol w:w="3956"/>
        <w:gridCol w:w="3158"/>
        <w:gridCol w:w="2778"/>
        <w:gridCol w:w="283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4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指标名称</w:t>
            </w:r>
          </w:p>
        </w:tc>
        <w:tc>
          <w:tcPr>
            <w:tcW w:w="3956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上级规划下达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年目标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①</w:t>
            </w:r>
          </w:p>
        </w:tc>
        <w:tc>
          <w:tcPr>
            <w:tcW w:w="3158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本镇规划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年落实数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②</w:t>
            </w:r>
          </w:p>
        </w:tc>
        <w:tc>
          <w:tcPr>
            <w:tcW w:w="2778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差值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②-①</w:t>
            </w:r>
          </w:p>
        </w:tc>
        <w:tc>
          <w:tcPr>
            <w:tcW w:w="2833" w:type="dxa"/>
            <w:tcBorders>
              <w:top w:val="double" w:color="auto" w:sz="6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指标属性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总量目标</w:t>
            </w:r>
          </w:p>
        </w:tc>
        <w:tc>
          <w:tcPr>
            <w:tcW w:w="6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耕地保有量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2416.00</w:t>
            </w:r>
          </w:p>
        </w:tc>
        <w:tc>
          <w:tcPr>
            <w:tcW w:w="3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2418.77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2.77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约束性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6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基本农田保护面积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2191.00</w:t>
            </w:r>
          </w:p>
        </w:tc>
        <w:tc>
          <w:tcPr>
            <w:tcW w:w="3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2191.9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5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0.9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5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约束性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6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建设用地总规模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1040.55</w:t>
            </w:r>
          </w:p>
        </w:tc>
        <w:tc>
          <w:tcPr>
            <w:tcW w:w="3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1040.55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预期性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6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城乡建设用地规模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742.75</w:t>
            </w:r>
          </w:p>
        </w:tc>
        <w:tc>
          <w:tcPr>
            <w:tcW w:w="3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742.75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约束性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1" w:type="dxa"/>
            <w:vMerge w:val="continue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692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城镇工矿用地规模</w:t>
            </w:r>
          </w:p>
        </w:tc>
        <w:tc>
          <w:tcPr>
            <w:tcW w:w="3956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79.80</w:t>
            </w:r>
          </w:p>
        </w:tc>
        <w:tc>
          <w:tcPr>
            <w:tcW w:w="3158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79.80</w:t>
            </w:r>
          </w:p>
        </w:tc>
        <w:tc>
          <w:tcPr>
            <w:tcW w:w="2778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2833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预期性</w:t>
            </w:r>
          </w:p>
        </w:tc>
      </w:tr>
    </w:tbl>
    <w:p>
      <w:pPr>
        <w:rPr>
          <w:rFonts w:ascii="Times New Roman" w:hAnsi="Times New Roman" w:cs="Times New Roman"/>
          <w:sz w:val="28"/>
          <w:szCs w:val="24"/>
        </w:r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  <w:sectPr>
          <w:pgSz w:w="23814" w:h="16839"/>
          <w:pgMar w:top="1440" w:right="1440" w:bottom="1440" w:left="1701" w:header="851" w:footer="992" w:gutter="0"/>
          <w:cols w:space="720" w:num="1"/>
          <w:docGrid w:type="lines" w:linePitch="312" w:charSpace="0"/>
        </w:sectPr>
      </w:pPr>
      <w:bookmarkStart w:id="77" w:name="_Toc469235338"/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78" w:name="_Toc469235336"/>
      <w:bookmarkStart w:id="79" w:name="_Toc476734969"/>
      <w:bookmarkStart w:id="80" w:name="_Toc485909039"/>
      <w:r>
        <w:rPr>
          <w:rFonts w:ascii="Times New Roman" w:hAnsi="Times New Roman" w:eastAsia="黑体" w:cs="Times New Roman"/>
          <w:sz w:val="24"/>
          <w:szCs w:val="24"/>
        </w:rPr>
        <w:t>附表5调入区域规划调整前后对比表</w:t>
      </w:r>
      <w:bookmarkEnd w:id="78"/>
      <w:bookmarkEnd w:id="79"/>
      <w:bookmarkEnd w:id="80"/>
    </w:p>
    <w:p>
      <w:pPr>
        <w:widowControl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单位:公顷</w:t>
      </w:r>
    </w:p>
    <w:tbl>
      <w:tblPr>
        <w:tblStyle w:val="18"/>
        <w:tblW w:w="206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1011"/>
        <w:gridCol w:w="1011"/>
        <w:gridCol w:w="1007"/>
        <w:gridCol w:w="1213"/>
        <w:gridCol w:w="1411"/>
        <w:gridCol w:w="1617"/>
        <w:gridCol w:w="2220"/>
        <w:gridCol w:w="1213"/>
        <w:gridCol w:w="1415"/>
        <w:gridCol w:w="1011"/>
        <w:gridCol w:w="1213"/>
        <w:gridCol w:w="1217"/>
        <w:gridCol w:w="390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721" w:type="dxa"/>
            <w:gridSpan w:val="13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调整前</w:t>
            </w:r>
          </w:p>
        </w:tc>
        <w:tc>
          <w:tcPr>
            <w:tcW w:w="3907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调整后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</w:trPr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耕地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园地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林地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牧草地</w:t>
            </w:r>
          </w:p>
        </w:tc>
        <w:tc>
          <w:tcPr>
            <w:tcW w:w="12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其他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农用地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城镇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用地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农村居民点用地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采矿及其他独立建设用地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交通水利用地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其他建设用地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水域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自然保留地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小计</w:t>
            </w:r>
          </w:p>
        </w:tc>
        <w:tc>
          <w:tcPr>
            <w:tcW w:w="3907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390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城镇用地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4.51 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0.83 </w:t>
            </w: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0.04 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5.38 </w:t>
            </w:r>
          </w:p>
        </w:tc>
        <w:tc>
          <w:tcPr>
            <w:tcW w:w="390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农村居民点用地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2.51 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8.65 </w:t>
            </w: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11.16 </w:t>
            </w:r>
          </w:p>
        </w:tc>
        <w:tc>
          <w:tcPr>
            <w:tcW w:w="390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采矿及其他独立建设用地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15.23 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0.11 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13.74 </w:t>
            </w: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1.05 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5.59 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0.05 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0.04 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0.02 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35.83 </w:t>
            </w:r>
          </w:p>
        </w:tc>
        <w:tc>
          <w:tcPr>
            <w:tcW w:w="390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交通水利用地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390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其他建设用地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62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22.26 </w:t>
            </w:r>
          </w:p>
        </w:tc>
        <w:tc>
          <w:tcPr>
            <w:tcW w:w="101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0.11 </w:t>
            </w:r>
          </w:p>
        </w:tc>
        <w:tc>
          <w:tcPr>
            <w:tcW w:w="101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23.21 </w:t>
            </w: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13" w:type="dxa"/>
            <w:tcBorders>
              <w:top w:val="nil"/>
              <w:left w:val="single" w:color="auto" w:sz="4" w:space="0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1.05 </w:t>
            </w:r>
          </w:p>
        </w:tc>
        <w:tc>
          <w:tcPr>
            <w:tcW w:w="141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617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5.59 </w:t>
            </w:r>
          </w:p>
        </w:tc>
        <w:tc>
          <w:tcPr>
            <w:tcW w:w="222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0.09 </w:t>
            </w:r>
          </w:p>
        </w:tc>
        <w:tc>
          <w:tcPr>
            <w:tcW w:w="121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415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01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0.04 </w:t>
            </w:r>
          </w:p>
        </w:tc>
        <w:tc>
          <w:tcPr>
            <w:tcW w:w="121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0.02 </w:t>
            </w:r>
          </w:p>
        </w:tc>
        <w:tc>
          <w:tcPr>
            <w:tcW w:w="1217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52.37 </w:t>
            </w:r>
          </w:p>
        </w:tc>
        <w:tc>
          <w:tcPr>
            <w:tcW w:w="3907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小计</w:t>
            </w:r>
          </w:p>
        </w:tc>
      </w:tr>
    </w:tbl>
    <w:p>
      <w:pPr>
        <w:widowControl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</w:p>
    <w:p>
      <w:pPr>
        <w:widowControl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</w:p>
    <w:p>
      <w:pPr>
        <w:widowControl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81" w:name="_Toc485909040"/>
      <w:bookmarkStart w:id="82" w:name="_Toc476734970"/>
      <w:bookmarkStart w:id="83" w:name="_Toc469235337"/>
      <w:r>
        <w:rPr>
          <w:rFonts w:ascii="Times New Roman" w:hAnsi="Times New Roman" w:eastAsia="黑体" w:cs="Times New Roman"/>
          <w:sz w:val="24"/>
          <w:szCs w:val="24"/>
        </w:rPr>
        <w:t>附表6调出区域规划调整前后对比表</w:t>
      </w:r>
      <w:bookmarkEnd w:id="81"/>
      <w:bookmarkEnd w:id="82"/>
      <w:bookmarkEnd w:id="83"/>
    </w:p>
    <w:p>
      <w:pPr>
        <w:widowControl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单位:公顷</w:t>
      </w:r>
    </w:p>
    <w:tbl>
      <w:tblPr>
        <w:tblStyle w:val="18"/>
        <w:tblW w:w="206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0"/>
        <w:gridCol w:w="941"/>
        <w:gridCol w:w="272"/>
        <w:gridCol w:w="1007"/>
        <w:gridCol w:w="1015"/>
        <w:gridCol w:w="1213"/>
        <w:gridCol w:w="1213"/>
        <w:gridCol w:w="1213"/>
        <w:gridCol w:w="1613"/>
        <w:gridCol w:w="2224"/>
        <w:gridCol w:w="1415"/>
        <w:gridCol w:w="1411"/>
        <w:gridCol w:w="1011"/>
        <w:gridCol w:w="1209"/>
        <w:gridCol w:w="108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790" w:type="dxa"/>
            <w:vMerge w:val="restart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调整前</w:t>
            </w:r>
          </w:p>
        </w:tc>
        <w:tc>
          <w:tcPr>
            <w:tcW w:w="941" w:type="dxa"/>
            <w:tcBorders>
              <w:top w:val="double" w:color="auto" w:sz="6" w:space="0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5897" w:type="dxa"/>
            <w:gridSpan w:val="13"/>
            <w:tcBorders>
              <w:top w:val="double" w:color="auto" w:sz="6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调整后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</w:trPr>
        <w:tc>
          <w:tcPr>
            <w:tcW w:w="3790" w:type="dxa"/>
            <w:vMerge w:val="continue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耕地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园地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林地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牧草地</w:t>
            </w:r>
          </w:p>
        </w:tc>
        <w:tc>
          <w:tcPr>
            <w:tcW w:w="12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其他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农用地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城镇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用地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农村居民点用地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采矿及其他独立建设用地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交通水利用地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其他建设用地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水域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自然保留地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小计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城镇用地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农村居民点用地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5.59 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5.59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采矿及其他独立建设用地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4.31 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1.20 </w:t>
            </w:r>
          </w:p>
        </w:tc>
        <w:tc>
          <w:tcPr>
            <w:tcW w:w="1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0.34 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0.04 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0.05 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5.93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交通水利用地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20.00 </w:t>
            </w:r>
          </w:p>
        </w:tc>
        <w:tc>
          <w:tcPr>
            <w:tcW w:w="1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其他建设用地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79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小计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4.31 </w:t>
            </w:r>
          </w:p>
        </w:tc>
        <w:tc>
          <w:tcPr>
            <w:tcW w:w="1007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015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21.20 </w:t>
            </w:r>
          </w:p>
        </w:tc>
        <w:tc>
          <w:tcPr>
            <w:tcW w:w="1213" w:type="dxa"/>
            <w:tcBorders>
              <w:top w:val="single" w:color="auto" w:sz="4" w:space="0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13" w:type="dxa"/>
            <w:tcBorders>
              <w:top w:val="nil"/>
              <w:left w:val="single" w:color="auto" w:sz="4" w:space="0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0.34 </w:t>
            </w:r>
          </w:p>
        </w:tc>
        <w:tc>
          <w:tcPr>
            <w:tcW w:w="121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61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0.04 </w:t>
            </w:r>
          </w:p>
        </w:tc>
        <w:tc>
          <w:tcPr>
            <w:tcW w:w="222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415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5.64 </w:t>
            </w:r>
          </w:p>
        </w:tc>
        <w:tc>
          <w:tcPr>
            <w:tcW w:w="141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01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09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081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31.53 </w:t>
            </w:r>
          </w:p>
        </w:tc>
      </w:tr>
    </w:tbl>
    <w:p>
      <w:pPr>
        <w:rPr>
          <w:rFonts w:ascii="Times New Roman" w:hAnsi="Times New Roman" w:eastAsia="Times New Roman" w:cs="Times New Roman"/>
          <w:sz w:val="28"/>
          <w:szCs w:val="24"/>
        </w:rPr>
        <w:sectPr>
          <w:pgSz w:w="23814" w:h="16839"/>
          <w:pgMar w:top="1134" w:right="1701" w:bottom="1440" w:left="1701" w:header="851" w:footer="992" w:gutter="0"/>
          <w:cols w:space="720" w:num="1"/>
          <w:docGrid w:type="lines" w:linePitch="381" w:charSpace="0"/>
        </w:sect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84" w:name="_Toc476734971"/>
      <w:bookmarkStart w:id="85" w:name="_Toc485909041"/>
      <w:r>
        <w:rPr>
          <w:rFonts w:ascii="Times New Roman" w:hAnsi="Times New Roman" w:eastAsia="黑体" w:cs="Times New Roman"/>
          <w:sz w:val="24"/>
          <w:szCs w:val="24"/>
        </w:rPr>
        <w:t>附表7  板杉镇耕地保有量和基本农田保护面积分解表</w:t>
      </w:r>
      <w:bookmarkEnd w:id="84"/>
      <w:bookmarkEnd w:id="85"/>
    </w:p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单位:公顷</w:t>
      </w:r>
    </w:p>
    <w:tbl>
      <w:tblPr>
        <w:tblStyle w:val="18"/>
        <w:tblW w:w="20889" w:type="dxa"/>
        <w:tblInd w:w="0" w:type="dxa"/>
        <w:tblBorders>
          <w:top w:val="double" w:color="auto" w:sz="6" w:space="0"/>
          <w:left w:val="none" w:color="auto" w:sz="0" w:space="0"/>
          <w:bottom w:val="double" w:color="auto" w:sz="6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8"/>
        <w:gridCol w:w="5332"/>
        <w:gridCol w:w="5115"/>
        <w:gridCol w:w="5114"/>
      </w:tblGrid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序号</w:t>
            </w:r>
          </w:p>
        </w:tc>
        <w:tc>
          <w:tcPr>
            <w:tcW w:w="533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单位</w:t>
            </w:r>
          </w:p>
        </w:tc>
        <w:tc>
          <w:tcPr>
            <w:tcW w:w="511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规划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年耕地保有量</w:t>
            </w:r>
          </w:p>
        </w:tc>
        <w:tc>
          <w:tcPr>
            <w:tcW w:w="511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规划期间基本农田保护面积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53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</w:rPr>
              <w:t>八步桥村</w:t>
            </w:r>
          </w:p>
        </w:tc>
        <w:tc>
          <w:tcPr>
            <w:tcW w:w="511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291.96 </w:t>
            </w:r>
          </w:p>
        </w:tc>
        <w:tc>
          <w:tcPr>
            <w:tcW w:w="511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268.91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53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</w:rPr>
              <w:t>板杉村</w:t>
            </w:r>
          </w:p>
        </w:tc>
        <w:tc>
          <w:tcPr>
            <w:tcW w:w="511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240.60 </w:t>
            </w:r>
          </w:p>
        </w:tc>
        <w:tc>
          <w:tcPr>
            <w:tcW w:w="511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219.01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53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</w:rPr>
              <w:t>东冲铺村</w:t>
            </w:r>
          </w:p>
        </w:tc>
        <w:tc>
          <w:tcPr>
            <w:tcW w:w="511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212.55 </w:t>
            </w:r>
          </w:p>
        </w:tc>
        <w:tc>
          <w:tcPr>
            <w:tcW w:w="511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184.64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53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</w:rPr>
              <w:t>擂鼓桥村</w:t>
            </w:r>
          </w:p>
        </w:tc>
        <w:tc>
          <w:tcPr>
            <w:tcW w:w="511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293.11 </w:t>
            </w:r>
          </w:p>
        </w:tc>
        <w:tc>
          <w:tcPr>
            <w:tcW w:w="511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258.46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</w:t>
            </w:r>
          </w:p>
        </w:tc>
        <w:tc>
          <w:tcPr>
            <w:tcW w:w="53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</w:rPr>
              <w:t>流碧桥村</w:t>
            </w:r>
          </w:p>
        </w:tc>
        <w:tc>
          <w:tcPr>
            <w:tcW w:w="511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326.05 </w:t>
            </w:r>
          </w:p>
        </w:tc>
        <w:tc>
          <w:tcPr>
            <w:tcW w:w="511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285.44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53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</w:rPr>
              <w:t>七里山村</w:t>
            </w:r>
          </w:p>
        </w:tc>
        <w:tc>
          <w:tcPr>
            <w:tcW w:w="511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183.28 </w:t>
            </w:r>
          </w:p>
        </w:tc>
        <w:tc>
          <w:tcPr>
            <w:tcW w:w="511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172.48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</w:t>
            </w:r>
          </w:p>
        </w:tc>
        <w:tc>
          <w:tcPr>
            <w:tcW w:w="53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</w:rPr>
              <w:t>夏坪桥村</w:t>
            </w:r>
          </w:p>
        </w:tc>
        <w:tc>
          <w:tcPr>
            <w:tcW w:w="511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317.64 </w:t>
            </w:r>
          </w:p>
        </w:tc>
        <w:tc>
          <w:tcPr>
            <w:tcW w:w="511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291.82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</w:t>
            </w:r>
          </w:p>
        </w:tc>
        <w:tc>
          <w:tcPr>
            <w:tcW w:w="53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</w:rPr>
              <w:t>寨下村</w:t>
            </w:r>
          </w:p>
        </w:tc>
        <w:tc>
          <w:tcPr>
            <w:tcW w:w="511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220.35 </w:t>
            </w:r>
          </w:p>
        </w:tc>
        <w:tc>
          <w:tcPr>
            <w:tcW w:w="511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204.08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</w:t>
            </w:r>
          </w:p>
        </w:tc>
        <w:tc>
          <w:tcPr>
            <w:tcW w:w="53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</w:rPr>
              <w:t>长坡口村</w:t>
            </w:r>
          </w:p>
        </w:tc>
        <w:tc>
          <w:tcPr>
            <w:tcW w:w="511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145.79 </w:t>
            </w:r>
          </w:p>
        </w:tc>
        <w:tc>
          <w:tcPr>
            <w:tcW w:w="511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133.36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</w:t>
            </w:r>
          </w:p>
        </w:tc>
        <w:tc>
          <w:tcPr>
            <w:tcW w:w="53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</w:rPr>
              <w:t>竹花山村</w:t>
            </w:r>
          </w:p>
        </w:tc>
        <w:tc>
          <w:tcPr>
            <w:tcW w:w="511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187.43 </w:t>
            </w:r>
          </w:p>
        </w:tc>
        <w:tc>
          <w:tcPr>
            <w:tcW w:w="511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173.7</w:t>
            </w:r>
            <w:r>
              <w:rPr>
                <w:rFonts w:hint="eastAsia" w:ascii="Times New Roman" w:hAnsi="Times New Roman" w:cs="Times New Roman"/>
                <w:color w:val="000000"/>
              </w:rPr>
              <w:t>6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合计</w:t>
            </w:r>
          </w:p>
        </w:tc>
        <w:tc>
          <w:tcPr>
            <w:tcW w:w="53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板杉镇</w:t>
            </w:r>
          </w:p>
        </w:tc>
        <w:tc>
          <w:tcPr>
            <w:tcW w:w="511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2418.77 </w:t>
            </w:r>
          </w:p>
        </w:tc>
        <w:tc>
          <w:tcPr>
            <w:tcW w:w="511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2191.9</w:t>
            </w:r>
            <w:r>
              <w:rPr>
                <w:rFonts w:hint="eastAsia" w:ascii="Times New Roman" w:hAnsi="Times New Roman" w:cs="Times New Roman"/>
                <w:color w:val="000000"/>
              </w:rPr>
              <w:t>5</w:t>
            </w:r>
          </w:p>
        </w:tc>
      </w:tr>
    </w:tbl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</w:p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</w:p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  <w:sectPr>
          <w:pgSz w:w="23814" w:h="16839"/>
          <w:pgMar w:top="1440" w:right="1440" w:bottom="1440" w:left="1701" w:header="851" w:footer="992" w:gutter="0"/>
          <w:cols w:space="720" w:num="1"/>
          <w:docGrid w:type="lines" w:linePitch="312" w:charSpace="0"/>
        </w:sect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86" w:name="_Toc476734972"/>
      <w:bookmarkStart w:id="87" w:name="_Toc485909042"/>
      <w:r>
        <w:rPr>
          <w:rFonts w:ascii="Times New Roman" w:hAnsi="Times New Roman" w:eastAsia="黑体" w:cs="Times New Roman"/>
          <w:sz w:val="24"/>
          <w:szCs w:val="24"/>
        </w:rPr>
        <w:t>附表8板杉镇</w:t>
      </w:r>
      <w:bookmarkEnd w:id="77"/>
      <w:r>
        <w:rPr>
          <w:rFonts w:ascii="Times New Roman" w:hAnsi="Times New Roman" w:eastAsia="黑体" w:cs="Times New Roman"/>
          <w:sz w:val="24"/>
          <w:szCs w:val="24"/>
        </w:rPr>
        <w:t>土地用途分区修改情况表</w:t>
      </w:r>
      <w:bookmarkEnd w:id="86"/>
      <w:bookmarkEnd w:id="87"/>
    </w:p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单位:公顷</w:t>
      </w:r>
    </w:p>
    <w:tbl>
      <w:tblPr>
        <w:tblStyle w:val="18"/>
        <w:tblW w:w="2088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3"/>
        <w:gridCol w:w="5448"/>
        <w:gridCol w:w="5448"/>
        <w:gridCol w:w="43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3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用途分区类型</w:t>
            </w:r>
          </w:p>
        </w:tc>
        <w:tc>
          <w:tcPr>
            <w:tcW w:w="5448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年（修改前）</w:t>
            </w:r>
          </w:p>
        </w:tc>
        <w:tc>
          <w:tcPr>
            <w:tcW w:w="5448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年（修改后）</w:t>
            </w:r>
          </w:p>
        </w:tc>
        <w:tc>
          <w:tcPr>
            <w:tcW w:w="4320" w:type="dxa"/>
            <w:tcBorders>
              <w:top w:val="double" w:color="auto" w:sz="6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修改后-修改前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基本农田保护区</w:t>
            </w:r>
          </w:p>
        </w:tc>
        <w:tc>
          <w:tcPr>
            <w:tcW w:w="5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2562.64 </w:t>
            </w:r>
          </w:p>
        </w:tc>
        <w:tc>
          <w:tcPr>
            <w:tcW w:w="5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2518.47 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-44.18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一般农地区</w:t>
            </w:r>
          </w:p>
        </w:tc>
        <w:tc>
          <w:tcPr>
            <w:tcW w:w="5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325.96 </w:t>
            </w:r>
          </w:p>
        </w:tc>
        <w:tc>
          <w:tcPr>
            <w:tcW w:w="5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388.89 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62.93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城镇建设用地区</w:t>
            </w:r>
          </w:p>
        </w:tc>
        <w:tc>
          <w:tcPr>
            <w:tcW w:w="5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4.65 </w:t>
            </w:r>
          </w:p>
        </w:tc>
        <w:tc>
          <w:tcPr>
            <w:tcW w:w="5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4.65 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5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村镇建设用地区</w:t>
            </w:r>
          </w:p>
        </w:tc>
        <w:tc>
          <w:tcPr>
            <w:tcW w:w="5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681.47 </w:t>
            </w:r>
          </w:p>
        </w:tc>
        <w:tc>
          <w:tcPr>
            <w:tcW w:w="5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681.25 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-0.21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独立工矿区</w:t>
            </w:r>
          </w:p>
        </w:tc>
        <w:tc>
          <w:tcPr>
            <w:tcW w:w="5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71.37 </w:t>
            </w:r>
          </w:p>
        </w:tc>
        <w:tc>
          <w:tcPr>
            <w:tcW w:w="5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76.59 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5.22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风景旅游用地区</w:t>
            </w:r>
          </w:p>
        </w:tc>
        <w:tc>
          <w:tcPr>
            <w:tcW w:w="5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1.51 </w:t>
            </w:r>
          </w:p>
        </w:tc>
        <w:tc>
          <w:tcPr>
            <w:tcW w:w="5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0.67 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-0.84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3" w:type="dxa"/>
            <w:tcBorders>
              <w:top w:val="single" w:color="auto" w:sz="4" w:space="0"/>
              <w:left w:val="nil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林业用地区</w:t>
            </w:r>
          </w:p>
        </w:tc>
        <w:tc>
          <w:tcPr>
            <w:tcW w:w="5448" w:type="dxa"/>
            <w:tcBorders>
              <w:top w:val="single" w:color="auto" w:sz="4" w:space="0"/>
              <w:left w:val="nil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4751.82 </w:t>
            </w:r>
          </w:p>
        </w:tc>
        <w:tc>
          <w:tcPr>
            <w:tcW w:w="5448" w:type="dxa"/>
            <w:tcBorders>
              <w:top w:val="single" w:color="auto" w:sz="4" w:space="0"/>
              <w:left w:val="nil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4755.62 </w:t>
            </w:r>
          </w:p>
        </w:tc>
        <w:tc>
          <w:tcPr>
            <w:tcW w:w="4320" w:type="dxa"/>
            <w:tcBorders>
              <w:top w:val="single" w:color="auto" w:sz="4" w:space="0"/>
              <w:left w:val="nil"/>
              <w:bottom w:val="doub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3.80 </w:t>
            </w:r>
          </w:p>
        </w:tc>
      </w:tr>
    </w:tbl>
    <w:p>
      <w:pPr>
        <w:jc w:val="center"/>
        <w:rPr>
          <w:rFonts w:ascii="Times New Roman" w:hAnsi="Times New Roman" w:eastAsia="宋体" w:cs="Times New Roman"/>
          <w:szCs w:val="21"/>
        </w:rPr>
      </w:pPr>
    </w:p>
    <w:p>
      <w:pPr>
        <w:jc w:val="center"/>
        <w:rPr>
          <w:rFonts w:ascii="Times New Roman" w:hAnsi="Times New Roman" w:eastAsia="宋体" w:cs="Times New Roman"/>
          <w:szCs w:val="21"/>
        </w:rPr>
      </w:pPr>
      <w:bookmarkStart w:id="88" w:name="_Toc476734973"/>
      <w:bookmarkStart w:id="89" w:name="_Toc469235339"/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90" w:name="_Toc485909043"/>
      <w:r>
        <w:rPr>
          <w:rFonts w:ascii="Times New Roman" w:hAnsi="Times New Roman" w:eastAsia="黑体" w:cs="Times New Roman"/>
          <w:sz w:val="24"/>
          <w:szCs w:val="24"/>
        </w:rPr>
        <w:t>附表9板杉镇建设用地空间管制分区修改情况表</w:t>
      </w:r>
      <w:bookmarkEnd w:id="88"/>
      <w:bookmarkEnd w:id="89"/>
      <w:bookmarkEnd w:id="90"/>
    </w:p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单位:公顷</w:t>
      </w:r>
    </w:p>
    <w:tbl>
      <w:tblPr>
        <w:tblStyle w:val="18"/>
        <w:tblW w:w="20889" w:type="dxa"/>
        <w:tblInd w:w="0" w:type="dxa"/>
        <w:tblBorders>
          <w:top w:val="double" w:color="auto" w:sz="6" w:space="0"/>
          <w:left w:val="none" w:color="auto" w:sz="0" w:space="0"/>
          <w:bottom w:val="double" w:color="auto" w:sz="6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6"/>
        <w:gridCol w:w="5527"/>
        <w:gridCol w:w="5389"/>
        <w:gridCol w:w="4337"/>
      </w:tblGrid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管制分区类型</w:t>
            </w:r>
          </w:p>
        </w:tc>
        <w:tc>
          <w:tcPr>
            <w:tcW w:w="55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年（修改前）</w:t>
            </w:r>
          </w:p>
        </w:tc>
        <w:tc>
          <w:tcPr>
            <w:tcW w:w="5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年（修改后）</w:t>
            </w:r>
          </w:p>
        </w:tc>
        <w:tc>
          <w:tcPr>
            <w:tcW w:w="43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修改后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修改前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允许建设区</w:t>
            </w:r>
          </w:p>
        </w:tc>
        <w:tc>
          <w:tcPr>
            <w:tcW w:w="552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737.74 </w:t>
            </w:r>
          </w:p>
        </w:tc>
        <w:tc>
          <w:tcPr>
            <w:tcW w:w="538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742.75 </w:t>
            </w:r>
          </w:p>
        </w:tc>
        <w:tc>
          <w:tcPr>
            <w:tcW w:w="43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5.01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限制建设区</w:t>
            </w:r>
          </w:p>
        </w:tc>
        <w:tc>
          <w:tcPr>
            <w:tcW w:w="552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8256.21 </w:t>
            </w:r>
          </w:p>
        </w:tc>
        <w:tc>
          <w:tcPr>
            <w:tcW w:w="538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8251.20 </w:t>
            </w:r>
          </w:p>
        </w:tc>
        <w:tc>
          <w:tcPr>
            <w:tcW w:w="43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-5.01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合计</w:t>
            </w:r>
          </w:p>
        </w:tc>
        <w:tc>
          <w:tcPr>
            <w:tcW w:w="552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8993.95 </w:t>
            </w:r>
          </w:p>
        </w:tc>
        <w:tc>
          <w:tcPr>
            <w:tcW w:w="538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8993.95 </w:t>
            </w:r>
          </w:p>
        </w:tc>
        <w:tc>
          <w:tcPr>
            <w:tcW w:w="43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</w:tr>
    </w:tbl>
    <w:p>
      <w:pPr>
        <w:rPr>
          <w:rFonts w:ascii="Times New Roman" w:hAnsi="Times New Roman" w:cs="Times New Roman"/>
          <w:sz w:val="28"/>
          <w:szCs w:val="24"/>
        </w:rPr>
      </w:pPr>
    </w:p>
    <w:p>
      <w:pPr>
        <w:rPr>
          <w:rFonts w:ascii="Times New Roman" w:hAnsi="Times New Roman" w:cs="Times New Roman"/>
          <w:sz w:val="28"/>
          <w:szCs w:val="24"/>
        </w:rPr>
        <w:sectPr>
          <w:pgSz w:w="23814" w:h="16839"/>
          <w:pgMar w:top="1440" w:right="1440" w:bottom="1440" w:left="1701" w:header="851" w:footer="992" w:gutter="0"/>
          <w:cols w:space="720" w:num="1"/>
          <w:docGrid w:type="lines" w:linePitch="312" w:charSpace="0"/>
        </w:sectPr>
      </w:pPr>
    </w:p>
    <w:p>
      <w:pPr>
        <w:spacing w:afterLines="100"/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91" w:name="_Toc469235340"/>
      <w:bookmarkStart w:id="92" w:name="_Toc476734974"/>
      <w:bookmarkStart w:id="93" w:name="_Toc485909044"/>
      <w:r>
        <w:rPr>
          <w:rFonts w:ascii="Times New Roman" w:hAnsi="Times New Roman" w:eastAsia="黑体" w:cs="Times New Roman"/>
          <w:sz w:val="24"/>
          <w:szCs w:val="24"/>
        </w:rPr>
        <w:t>附表10板杉镇2016-2020年重点建设用地项目规划表</w:t>
      </w:r>
      <w:bookmarkEnd w:id="91"/>
      <w:bookmarkEnd w:id="92"/>
      <w:bookmarkEnd w:id="93"/>
    </w:p>
    <w:tbl>
      <w:tblPr>
        <w:tblStyle w:val="18"/>
        <w:tblW w:w="2043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11245"/>
        <w:gridCol w:w="3583"/>
        <w:gridCol w:w="361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986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1245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项目名称</w:t>
            </w:r>
          </w:p>
        </w:tc>
        <w:tc>
          <w:tcPr>
            <w:tcW w:w="3583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建设性质</w:t>
            </w:r>
          </w:p>
        </w:tc>
        <w:tc>
          <w:tcPr>
            <w:tcW w:w="3616" w:type="dxa"/>
            <w:tcBorders>
              <w:top w:val="double" w:color="auto" w:sz="6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04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一、交通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</w:t>
            </w:r>
          </w:p>
        </w:tc>
        <w:tc>
          <w:tcPr>
            <w:tcW w:w="1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长株潭城际轻轨铁路</w:t>
            </w:r>
          </w:p>
        </w:tc>
        <w:tc>
          <w:tcPr>
            <w:tcW w:w="3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新建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枫树桥至王仙段公路</w:t>
            </w:r>
          </w:p>
        </w:tc>
        <w:tc>
          <w:tcPr>
            <w:tcW w:w="3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改扩建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1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左权清安-明月杉仙殿公路</w:t>
            </w:r>
          </w:p>
        </w:tc>
        <w:tc>
          <w:tcPr>
            <w:tcW w:w="3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改扩建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</w:t>
            </w:r>
          </w:p>
        </w:tc>
        <w:tc>
          <w:tcPr>
            <w:tcW w:w="1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莲花冲（湘赣界）-株洲公路改建工程</w:t>
            </w:r>
          </w:p>
        </w:tc>
        <w:tc>
          <w:tcPr>
            <w:tcW w:w="3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改建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</w:t>
            </w:r>
          </w:p>
        </w:tc>
        <w:tc>
          <w:tcPr>
            <w:tcW w:w="1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醴陵屏山至芦淞区栗塘村公路（东城大道）</w:t>
            </w:r>
          </w:p>
        </w:tc>
        <w:tc>
          <w:tcPr>
            <w:tcW w:w="3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升级改造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</w:t>
            </w:r>
          </w:p>
        </w:tc>
        <w:tc>
          <w:tcPr>
            <w:tcW w:w="1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醴陵锉断坳至杉仙殿公路（锉断坳至大障段）</w:t>
            </w:r>
          </w:p>
        </w:tc>
        <w:tc>
          <w:tcPr>
            <w:tcW w:w="3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升级改造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</w:t>
            </w:r>
          </w:p>
        </w:tc>
        <w:tc>
          <w:tcPr>
            <w:tcW w:w="1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招呼站建设</w:t>
            </w:r>
          </w:p>
        </w:tc>
        <w:tc>
          <w:tcPr>
            <w:tcW w:w="3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新建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04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二、农村公路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</w:t>
            </w:r>
          </w:p>
        </w:tc>
        <w:tc>
          <w:tcPr>
            <w:tcW w:w="1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危桥改造项目</w:t>
            </w:r>
          </w:p>
        </w:tc>
        <w:tc>
          <w:tcPr>
            <w:tcW w:w="3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改建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</w:t>
            </w:r>
          </w:p>
        </w:tc>
        <w:tc>
          <w:tcPr>
            <w:tcW w:w="1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生命防护工程</w:t>
            </w:r>
          </w:p>
        </w:tc>
        <w:tc>
          <w:tcPr>
            <w:tcW w:w="3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改建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</w:t>
            </w:r>
          </w:p>
        </w:tc>
        <w:tc>
          <w:tcPr>
            <w:tcW w:w="1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大中修项目</w:t>
            </w:r>
          </w:p>
        </w:tc>
        <w:tc>
          <w:tcPr>
            <w:tcW w:w="3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改建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11</w:t>
            </w:r>
          </w:p>
        </w:tc>
        <w:tc>
          <w:tcPr>
            <w:tcW w:w="1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应急抢险（水毁抢险、路桥养护、行道树、砍伐更新、警示标志）</w:t>
            </w:r>
          </w:p>
        </w:tc>
        <w:tc>
          <w:tcPr>
            <w:tcW w:w="3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改建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04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三、水利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12</w:t>
            </w:r>
          </w:p>
        </w:tc>
        <w:tc>
          <w:tcPr>
            <w:tcW w:w="1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中小河流治理工程</w:t>
            </w:r>
          </w:p>
        </w:tc>
        <w:tc>
          <w:tcPr>
            <w:tcW w:w="3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新建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04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四、民生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</w:t>
            </w:r>
          </w:p>
        </w:tc>
        <w:tc>
          <w:tcPr>
            <w:tcW w:w="1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板杉镇污水处理厂</w:t>
            </w:r>
          </w:p>
        </w:tc>
        <w:tc>
          <w:tcPr>
            <w:tcW w:w="3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新建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14</w:t>
            </w:r>
          </w:p>
        </w:tc>
        <w:tc>
          <w:tcPr>
            <w:tcW w:w="1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农村饮水安全及水源工程</w:t>
            </w:r>
          </w:p>
        </w:tc>
        <w:tc>
          <w:tcPr>
            <w:tcW w:w="3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新建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15</w:t>
            </w:r>
          </w:p>
        </w:tc>
        <w:tc>
          <w:tcPr>
            <w:tcW w:w="1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板杉镇垃圾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中转站</w:t>
            </w:r>
          </w:p>
        </w:tc>
        <w:tc>
          <w:tcPr>
            <w:tcW w:w="3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新建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16</w:t>
            </w:r>
          </w:p>
        </w:tc>
        <w:tc>
          <w:tcPr>
            <w:tcW w:w="1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板杉镇村级活动中心</w:t>
            </w:r>
          </w:p>
        </w:tc>
        <w:tc>
          <w:tcPr>
            <w:tcW w:w="3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新建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全镇各村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17</w:t>
            </w:r>
          </w:p>
        </w:tc>
        <w:tc>
          <w:tcPr>
            <w:tcW w:w="1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养老服务配套工程</w:t>
            </w:r>
          </w:p>
        </w:tc>
        <w:tc>
          <w:tcPr>
            <w:tcW w:w="3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新建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04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五、其他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18</w:t>
            </w:r>
          </w:p>
        </w:tc>
        <w:tc>
          <w:tcPr>
            <w:tcW w:w="1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G320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与岳汝高速拆迁安置区</w:t>
            </w:r>
          </w:p>
        </w:tc>
        <w:tc>
          <w:tcPr>
            <w:tcW w:w="3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361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19</w:t>
            </w:r>
          </w:p>
        </w:tc>
        <w:tc>
          <w:tcPr>
            <w:tcW w:w="1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汽车配件城</w:t>
            </w:r>
          </w:p>
        </w:tc>
        <w:tc>
          <w:tcPr>
            <w:tcW w:w="3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361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20</w:t>
            </w:r>
          </w:p>
        </w:tc>
        <w:tc>
          <w:tcPr>
            <w:tcW w:w="1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八步桥村农贸市场</w:t>
            </w:r>
          </w:p>
        </w:tc>
        <w:tc>
          <w:tcPr>
            <w:tcW w:w="3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361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986" w:type="dxa"/>
            <w:tcBorders>
              <w:top w:val="single" w:color="auto" w:sz="4" w:space="0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21</w:t>
            </w:r>
          </w:p>
        </w:tc>
        <w:tc>
          <w:tcPr>
            <w:tcW w:w="11245" w:type="dxa"/>
            <w:tcBorders>
              <w:top w:val="single" w:color="auto" w:sz="4" w:space="0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醴陵市生态繁殖中心</w:t>
            </w:r>
          </w:p>
        </w:tc>
        <w:tc>
          <w:tcPr>
            <w:tcW w:w="3583" w:type="dxa"/>
            <w:tcBorders>
              <w:top w:val="single" w:color="auto" w:sz="4" w:space="0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3616" w:type="dxa"/>
            <w:tcBorders>
              <w:top w:val="single" w:color="auto" w:sz="4" w:space="0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</w:tr>
    </w:tbl>
    <w:p>
      <w:pPr>
        <w:widowControl/>
        <w:jc w:val="center"/>
        <w:rPr>
          <w:rFonts w:ascii="Times New Roman" w:hAnsi="Times New Roman" w:eastAsia="Times New Roman" w:cs="Times New Roman"/>
          <w:sz w:val="28"/>
          <w:szCs w:val="24"/>
        </w:rPr>
      </w:pPr>
    </w:p>
    <w:p>
      <w:pPr>
        <w:rPr>
          <w:rFonts w:ascii="Times New Roman" w:hAnsi="Times New Roman" w:eastAsia="Times New Roman" w:cs="Times New Roman"/>
          <w:sz w:val="28"/>
          <w:szCs w:val="24"/>
        </w:rPr>
        <w:sectPr>
          <w:pgSz w:w="23814" w:h="16839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94" w:name="_Toc485909045"/>
      <w:bookmarkStart w:id="95" w:name="_Toc476734975"/>
      <w:r>
        <w:rPr>
          <w:rFonts w:ascii="Times New Roman" w:hAnsi="Times New Roman" w:eastAsia="黑体" w:cs="Times New Roman"/>
          <w:sz w:val="24"/>
          <w:szCs w:val="24"/>
        </w:rPr>
        <w:t>附表11  板杉镇土地用途分区面积统计表</w:t>
      </w:r>
      <w:bookmarkEnd w:id="94"/>
      <w:bookmarkEnd w:id="95"/>
    </w:p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单位:公顷</w:t>
      </w:r>
    </w:p>
    <w:tbl>
      <w:tblPr>
        <w:tblStyle w:val="18"/>
        <w:tblW w:w="20430" w:type="dxa"/>
        <w:tblInd w:w="0" w:type="dxa"/>
        <w:tblBorders>
          <w:top w:val="double" w:color="auto" w:sz="6" w:space="0"/>
          <w:left w:val="none" w:color="auto" w:sz="0" w:space="0"/>
          <w:bottom w:val="double" w:color="auto" w:sz="6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9"/>
        <w:gridCol w:w="2841"/>
        <w:gridCol w:w="2199"/>
        <w:gridCol w:w="2199"/>
        <w:gridCol w:w="2199"/>
        <w:gridCol w:w="2199"/>
        <w:gridCol w:w="2198"/>
        <w:gridCol w:w="2198"/>
        <w:gridCol w:w="2198"/>
      </w:tblGrid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84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基本农田保护区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一般农地区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城镇建设用地区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村镇建设用地区</w:t>
            </w:r>
          </w:p>
        </w:tc>
        <w:tc>
          <w:tcPr>
            <w:tcW w:w="21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独立工矿区</w:t>
            </w: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风景名胜用地区</w:t>
            </w:r>
          </w:p>
        </w:tc>
        <w:tc>
          <w:tcPr>
            <w:tcW w:w="21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林业用地区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84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</w:rPr>
              <w:t>八步桥村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307.57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39.31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0.92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75.16</w:t>
            </w:r>
          </w:p>
        </w:tc>
        <w:tc>
          <w:tcPr>
            <w:tcW w:w="219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5.33</w:t>
            </w:r>
          </w:p>
        </w:tc>
        <w:tc>
          <w:tcPr>
            <w:tcW w:w="219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219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466.34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84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</w:rPr>
              <w:t>板杉村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244.43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31.80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0.00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59.08</w:t>
            </w:r>
          </w:p>
        </w:tc>
        <w:tc>
          <w:tcPr>
            <w:tcW w:w="219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1.17</w:t>
            </w:r>
          </w:p>
        </w:tc>
        <w:tc>
          <w:tcPr>
            <w:tcW w:w="219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219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394.64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84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</w:rPr>
              <w:t>东冲铺村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151.48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16.14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0.32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66.21</w:t>
            </w:r>
          </w:p>
        </w:tc>
        <w:tc>
          <w:tcPr>
            <w:tcW w:w="219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31.69</w:t>
            </w:r>
          </w:p>
        </w:tc>
        <w:tc>
          <w:tcPr>
            <w:tcW w:w="219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219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523.09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84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</w:rPr>
              <w:t>擂鼓桥村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222.11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42.33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0.00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69.71</w:t>
            </w:r>
          </w:p>
        </w:tc>
        <w:tc>
          <w:tcPr>
            <w:tcW w:w="219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1.73</w:t>
            </w:r>
          </w:p>
        </w:tc>
        <w:tc>
          <w:tcPr>
            <w:tcW w:w="219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219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742.36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84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</w:rPr>
              <w:t>流碧桥村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311.88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57.79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0.23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79.01</w:t>
            </w:r>
          </w:p>
        </w:tc>
        <w:tc>
          <w:tcPr>
            <w:tcW w:w="219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4.82</w:t>
            </w:r>
          </w:p>
        </w:tc>
        <w:tc>
          <w:tcPr>
            <w:tcW w:w="219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219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691.97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84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</w:rPr>
              <w:t>七里山村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335.66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77.47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0.00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93.63</w:t>
            </w:r>
          </w:p>
        </w:tc>
        <w:tc>
          <w:tcPr>
            <w:tcW w:w="219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14.05</w:t>
            </w:r>
          </w:p>
        </w:tc>
        <w:tc>
          <w:tcPr>
            <w:tcW w:w="219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219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198.38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84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</w:rPr>
              <w:t>夏坪桥村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197.22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19.88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3.19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64.59</w:t>
            </w:r>
          </w:p>
        </w:tc>
        <w:tc>
          <w:tcPr>
            <w:tcW w:w="219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10.94</w:t>
            </w:r>
          </w:p>
        </w:tc>
        <w:tc>
          <w:tcPr>
            <w:tcW w:w="219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0.67 </w:t>
            </w:r>
          </w:p>
        </w:tc>
        <w:tc>
          <w:tcPr>
            <w:tcW w:w="219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671.23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84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</w:rPr>
              <w:t>寨下村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334.88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45.80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0.00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79.74</w:t>
            </w:r>
          </w:p>
        </w:tc>
        <w:tc>
          <w:tcPr>
            <w:tcW w:w="219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5.18</w:t>
            </w:r>
          </w:p>
        </w:tc>
        <w:tc>
          <w:tcPr>
            <w:tcW w:w="219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219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496.66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84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</w:rPr>
              <w:t>长坡口村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226.71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34.08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0.00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56.29</w:t>
            </w:r>
          </w:p>
        </w:tc>
        <w:tc>
          <w:tcPr>
            <w:tcW w:w="219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1.03</w:t>
            </w:r>
          </w:p>
        </w:tc>
        <w:tc>
          <w:tcPr>
            <w:tcW w:w="219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219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220.92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84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</w:rPr>
              <w:t>竹花山村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186.53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24.29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0.00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37.83</w:t>
            </w:r>
          </w:p>
        </w:tc>
        <w:tc>
          <w:tcPr>
            <w:tcW w:w="219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0.65</w:t>
            </w:r>
          </w:p>
        </w:tc>
        <w:tc>
          <w:tcPr>
            <w:tcW w:w="219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219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350.03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合计</w:t>
            </w:r>
          </w:p>
        </w:tc>
        <w:tc>
          <w:tcPr>
            <w:tcW w:w="284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板杉镇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</w:rPr>
              <w:t>2518.47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</w:rPr>
              <w:t>388.89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</w:rPr>
              <w:t>4.65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</w:rPr>
              <w:t>681.25</w:t>
            </w:r>
          </w:p>
        </w:tc>
        <w:tc>
          <w:tcPr>
            <w:tcW w:w="219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</w:rPr>
              <w:t>76.59</w:t>
            </w:r>
          </w:p>
        </w:tc>
        <w:tc>
          <w:tcPr>
            <w:tcW w:w="219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</w:rPr>
              <w:t xml:space="preserve">0.67 </w:t>
            </w:r>
          </w:p>
        </w:tc>
        <w:tc>
          <w:tcPr>
            <w:tcW w:w="219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4755.62</w:t>
            </w:r>
          </w:p>
        </w:tc>
      </w:tr>
    </w:tbl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</w:p>
    <w:p>
      <w:pPr>
        <w:rPr>
          <w:rFonts w:ascii="Times New Roman" w:hAnsi="Times New Roman" w:eastAsia="Times New Roman" w:cs="Times New Roman"/>
          <w:sz w:val="28"/>
          <w:szCs w:val="24"/>
        </w:rPr>
        <w:sectPr>
          <w:pgSz w:w="23814" w:h="16839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96" w:name="_Toc485909046"/>
      <w:bookmarkStart w:id="97" w:name="_Toc476734976"/>
      <w:bookmarkStart w:id="98" w:name="_Toc469235341"/>
      <w:r>
        <w:rPr>
          <w:rFonts w:ascii="Times New Roman" w:hAnsi="Times New Roman" w:eastAsia="黑体" w:cs="Times New Roman"/>
          <w:sz w:val="24"/>
          <w:szCs w:val="24"/>
        </w:rPr>
        <w:t>附表12板杉镇2006-2020年地类结构平衡表</w:t>
      </w:r>
      <w:bookmarkEnd w:id="96"/>
      <w:bookmarkEnd w:id="97"/>
      <w:bookmarkEnd w:id="98"/>
    </w:p>
    <w:p>
      <w:pPr>
        <w:widowControl/>
        <w:ind w:firstLine="360" w:firstLineChars="200"/>
        <w:jc w:val="right"/>
        <w:rPr>
          <w:rFonts w:ascii="Times New Roman" w:hAnsi="Times New Roman" w:eastAsia="仿宋_GB2312" w:cs="Times New Roman"/>
          <w:sz w:val="18"/>
          <w:szCs w:val="21"/>
        </w:rPr>
      </w:pPr>
      <w:r>
        <w:rPr>
          <w:rFonts w:ascii="Times New Roman" w:hAnsi="Times New Roman" w:eastAsia="仿宋_GB2312" w:cs="Times New Roman"/>
          <w:sz w:val="18"/>
          <w:szCs w:val="21"/>
        </w:rPr>
        <w:t>单位:公顷</w:t>
      </w:r>
    </w:p>
    <w:tbl>
      <w:tblPr>
        <w:tblStyle w:val="18"/>
        <w:tblW w:w="20628" w:type="dxa"/>
        <w:tblInd w:w="0" w:type="dxa"/>
        <w:tblBorders>
          <w:top w:val="double" w:color="auto" w:sz="4" w:space="0"/>
          <w:left w:val="none" w:color="auto" w:sz="0" w:space="0"/>
          <w:bottom w:val="doub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"/>
        <w:gridCol w:w="1518"/>
        <w:gridCol w:w="1003"/>
        <w:gridCol w:w="1003"/>
        <w:gridCol w:w="937"/>
        <w:gridCol w:w="937"/>
        <w:gridCol w:w="1003"/>
        <w:gridCol w:w="937"/>
        <w:gridCol w:w="794"/>
        <w:gridCol w:w="937"/>
        <w:gridCol w:w="937"/>
        <w:gridCol w:w="937"/>
        <w:gridCol w:w="937"/>
        <w:gridCol w:w="937"/>
        <w:gridCol w:w="937"/>
        <w:gridCol w:w="937"/>
        <w:gridCol w:w="937"/>
        <w:gridCol w:w="937"/>
        <w:gridCol w:w="747"/>
        <w:gridCol w:w="937"/>
        <w:gridCol w:w="937"/>
        <w:gridCol w:w="1000"/>
      </w:tblGrid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60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地类</w:t>
            </w:r>
          </w:p>
        </w:tc>
        <w:tc>
          <w:tcPr>
            <w:tcW w:w="100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规划基期现状面积</w:t>
            </w:r>
          </w:p>
        </w:tc>
        <w:tc>
          <w:tcPr>
            <w:tcW w:w="14791" w:type="dxa"/>
            <w:gridSpan w:val="1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规划期间调整至其他地类</w:t>
            </w:r>
          </w:p>
        </w:tc>
        <w:tc>
          <w:tcPr>
            <w:tcW w:w="93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期间减少</w:t>
            </w:r>
          </w:p>
        </w:tc>
        <w:tc>
          <w:tcPr>
            <w:tcW w:w="93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净增减</w:t>
            </w:r>
          </w:p>
        </w:tc>
        <w:tc>
          <w:tcPr>
            <w:tcW w:w="10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规划目标年面积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60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003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611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农用地</w:t>
            </w:r>
          </w:p>
        </w:tc>
        <w:tc>
          <w:tcPr>
            <w:tcW w:w="6559" w:type="dxa"/>
            <w:gridSpan w:val="7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建设用地</w:t>
            </w:r>
          </w:p>
        </w:tc>
        <w:tc>
          <w:tcPr>
            <w:tcW w:w="2621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其他土地</w:t>
            </w:r>
          </w:p>
        </w:tc>
        <w:tc>
          <w:tcPr>
            <w:tcW w:w="937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937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60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003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合计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耕地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园地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林地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牧草地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其他农用地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合计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城镇用地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农村居民点用地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采矿用地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其他独立建设用地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交通水利用地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其他建设用地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合计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水域</w:t>
            </w: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自然保留地</w:t>
            </w:r>
          </w:p>
        </w:tc>
        <w:tc>
          <w:tcPr>
            <w:tcW w:w="937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937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6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土地总面积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8993.95 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7897.74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2418.77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124.08 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4729.39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625.50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1040.55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4.15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662.95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31.09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44.56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296.29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1.51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55.66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43.54 </w:t>
            </w: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12.12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8993.95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4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农用地</w:t>
            </w:r>
          </w:p>
        </w:tc>
        <w:tc>
          <w:tcPr>
            <w:tcW w:w="15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合计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7928.30 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31.61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31.01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0.60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156.93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26.84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41.82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88.27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156.93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-30.56 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7897.74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耕地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2414.52 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0.56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0.56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53.06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17.75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5.45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29.85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53.62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4.25 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2418.77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园地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42.82 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1.40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0.67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0.73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1.40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81.26 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124.08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林地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4812.77 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6.95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6.95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90.90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5.60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33.43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51.88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97.85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-83.38 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4729.39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牧草地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其他农用地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658.19 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24.10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24.06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0.04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11.57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3.49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2.27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5.81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35.67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-32.69 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625.50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4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建设用地</w:t>
            </w:r>
          </w:p>
        </w:tc>
        <w:tc>
          <w:tcPr>
            <w:tcW w:w="15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合计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981.31 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99.51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10.79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82.66 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3.08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2.98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9.44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1.22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8.22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99.51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59.24 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1040.55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城镇用地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4.15 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4.15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农村居民点用地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741.13 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95.63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9.89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82.66 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3.08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9.39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1.22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8.17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105.02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-78.18 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662.95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采矿用地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31.14 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0.05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0.05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0.05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-0.05 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31.09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其他独立建设用地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44.56 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44.56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交通水利用地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203.38 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3.88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0.90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2.98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3.88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92.91 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296.29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其他建设用地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1.51 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1.51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4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其他土地</w:t>
            </w:r>
          </w:p>
        </w:tc>
        <w:tc>
          <w:tcPr>
            <w:tcW w:w="15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合计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84.34 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26.86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16.07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10.79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1.82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1.52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0.30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28.68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-28.68 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55.66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水域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44.20 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0.66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0.48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0.18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0.66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-0.66 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43.54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自然保留地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40.14 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26.86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16.07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10.79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1.16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1.04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0.12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28.02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-28.02 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12.12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6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期间增加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126.37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57.87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82.66 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14.47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2.98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158.75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26.84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44.56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96.79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</w:tr>
    </w:tbl>
    <w:p>
      <w:pPr>
        <w:widowControl/>
        <w:ind w:firstLine="360" w:firstLineChars="200"/>
        <w:jc w:val="right"/>
        <w:rPr>
          <w:rFonts w:ascii="Times New Roman" w:hAnsi="Times New Roman" w:eastAsia="仿宋_GB2312" w:cs="Times New Roman"/>
          <w:sz w:val="18"/>
          <w:szCs w:val="21"/>
        </w:rPr>
      </w:pPr>
    </w:p>
    <w:p>
      <w:pPr>
        <w:widowControl/>
        <w:spacing w:line="20" w:lineRule="exact"/>
        <w:rPr>
          <w:rFonts w:ascii="Times New Roman" w:hAnsi="Times New Roman" w:cs="Times New Roman"/>
        </w:rPr>
      </w:pPr>
    </w:p>
    <w:sectPr>
      <w:pgSz w:w="23814" w:h="16839"/>
      <w:pgMar w:top="1134" w:right="1701" w:bottom="1440" w:left="1701" w:header="851" w:footer="992" w:gutter="0"/>
      <w:cols w:space="720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434267"/>
      <w:docPartObj>
        <w:docPartGallery w:val="AutoText"/>
      </w:docPartObj>
    </w:sdtPr>
    <w:sdtContent>
      <w:p>
        <w:pPr>
          <w:pStyle w:val="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I</w:t>
        </w:r>
        <w:r>
          <w:rPr>
            <w:lang w:val="zh-CN"/>
          </w:rPr>
          <w:fldChar w:fldCharType="end"/>
        </w:r>
      </w:p>
    </w:sdtContent>
  </w:sdt>
  <w:p>
    <w:pPr>
      <w:pStyle w:val="8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434271"/>
      <w:docPartObj>
        <w:docPartGallery w:val="AutoText"/>
      </w:docPartObj>
    </w:sdtPr>
    <w:sdtContent>
      <w:p>
        <w:pPr>
          <w:pStyle w:val="8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9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>
    <w:pPr>
      <w:pStyle w:val="8"/>
      <w:rPr>
        <w:rFonts w:ascii="Times New Roman" w:hAnsi="Times New Roman"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41CCC"/>
    <w:rsid w:val="00002191"/>
    <w:rsid w:val="00007EB3"/>
    <w:rsid w:val="000139AE"/>
    <w:rsid w:val="00031742"/>
    <w:rsid w:val="00044D4C"/>
    <w:rsid w:val="00047A70"/>
    <w:rsid w:val="0005484F"/>
    <w:rsid w:val="00055659"/>
    <w:rsid w:val="0007133B"/>
    <w:rsid w:val="00075B65"/>
    <w:rsid w:val="00083B36"/>
    <w:rsid w:val="00087CAD"/>
    <w:rsid w:val="00090EB5"/>
    <w:rsid w:val="00092418"/>
    <w:rsid w:val="00092589"/>
    <w:rsid w:val="0009706D"/>
    <w:rsid w:val="000B07C0"/>
    <w:rsid w:val="000B2CCD"/>
    <w:rsid w:val="000B66F3"/>
    <w:rsid w:val="000C0BE5"/>
    <w:rsid w:val="000D325B"/>
    <w:rsid w:val="000D4193"/>
    <w:rsid w:val="000E41D3"/>
    <w:rsid w:val="000E73B4"/>
    <w:rsid w:val="000E778D"/>
    <w:rsid w:val="000F3A70"/>
    <w:rsid w:val="00113197"/>
    <w:rsid w:val="00117851"/>
    <w:rsid w:val="00135C9E"/>
    <w:rsid w:val="0014057A"/>
    <w:rsid w:val="00150506"/>
    <w:rsid w:val="00157249"/>
    <w:rsid w:val="0016150F"/>
    <w:rsid w:val="00176BDC"/>
    <w:rsid w:val="00177762"/>
    <w:rsid w:val="00183324"/>
    <w:rsid w:val="00190F0F"/>
    <w:rsid w:val="001B360B"/>
    <w:rsid w:val="001B77A5"/>
    <w:rsid w:val="001E0D7B"/>
    <w:rsid w:val="001F5E55"/>
    <w:rsid w:val="001F66F2"/>
    <w:rsid w:val="002043DB"/>
    <w:rsid w:val="00205DBF"/>
    <w:rsid w:val="002063B0"/>
    <w:rsid w:val="00221FFD"/>
    <w:rsid w:val="00226878"/>
    <w:rsid w:val="00237851"/>
    <w:rsid w:val="002404DB"/>
    <w:rsid w:val="00251D5E"/>
    <w:rsid w:val="00261BDF"/>
    <w:rsid w:val="00270661"/>
    <w:rsid w:val="00271AD4"/>
    <w:rsid w:val="00282CAF"/>
    <w:rsid w:val="0028770F"/>
    <w:rsid w:val="0029067F"/>
    <w:rsid w:val="00290FC1"/>
    <w:rsid w:val="0029525E"/>
    <w:rsid w:val="002955C8"/>
    <w:rsid w:val="002A771C"/>
    <w:rsid w:val="002C219B"/>
    <w:rsid w:val="002C73E8"/>
    <w:rsid w:val="002D0C4A"/>
    <w:rsid w:val="002D41A5"/>
    <w:rsid w:val="002D55EB"/>
    <w:rsid w:val="002E0255"/>
    <w:rsid w:val="002E0B6A"/>
    <w:rsid w:val="002E23C8"/>
    <w:rsid w:val="002E2975"/>
    <w:rsid w:val="002E604C"/>
    <w:rsid w:val="002F616A"/>
    <w:rsid w:val="002F6174"/>
    <w:rsid w:val="00306B13"/>
    <w:rsid w:val="00307A6E"/>
    <w:rsid w:val="00323445"/>
    <w:rsid w:val="00325044"/>
    <w:rsid w:val="00331DAC"/>
    <w:rsid w:val="00353BC5"/>
    <w:rsid w:val="003717F1"/>
    <w:rsid w:val="00381E05"/>
    <w:rsid w:val="00396E71"/>
    <w:rsid w:val="003B6AEA"/>
    <w:rsid w:val="003B6F9B"/>
    <w:rsid w:val="003C7667"/>
    <w:rsid w:val="003E1BB5"/>
    <w:rsid w:val="003F58CC"/>
    <w:rsid w:val="00413139"/>
    <w:rsid w:val="00414AB2"/>
    <w:rsid w:val="0042182E"/>
    <w:rsid w:val="004301EE"/>
    <w:rsid w:val="0043320B"/>
    <w:rsid w:val="00436924"/>
    <w:rsid w:val="004624D1"/>
    <w:rsid w:val="004675DC"/>
    <w:rsid w:val="00480A9E"/>
    <w:rsid w:val="00485F74"/>
    <w:rsid w:val="0048791C"/>
    <w:rsid w:val="00491246"/>
    <w:rsid w:val="004938C6"/>
    <w:rsid w:val="00495D75"/>
    <w:rsid w:val="004B535B"/>
    <w:rsid w:val="004B5BCA"/>
    <w:rsid w:val="004C026D"/>
    <w:rsid w:val="004C1F61"/>
    <w:rsid w:val="004C542C"/>
    <w:rsid w:val="004E6986"/>
    <w:rsid w:val="004E6BC6"/>
    <w:rsid w:val="004E7507"/>
    <w:rsid w:val="004F215A"/>
    <w:rsid w:val="00502A4F"/>
    <w:rsid w:val="00502E53"/>
    <w:rsid w:val="00503E83"/>
    <w:rsid w:val="00530243"/>
    <w:rsid w:val="00531839"/>
    <w:rsid w:val="00533601"/>
    <w:rsid w:val="005406E6"/>
    <w:rsid w:val="0054160C"/>
    <w:rsid w:val="00542077"/>
    <w:rsid w:val="00546E58"/>
    <w:rsid w:val="005531F8"/>
    <w:rsid w:val="005607BD"/>
    <w:rsid w:val="00584E67"/>
    <w:rsid w:val="00597C22"/>
    <w:rsid w:val="005A0311"/>
    <w:rsid w:val="005A1097"/>
    <w:rsid w:val="005A15D0"/>
    <w:rsid w:val="005D6B15"/>
    <w:rsid w:val="005E0424"/>
    <w:rsid w:val="005E33E0"/>
    <w:rsid w:val="005F5C48"/>
    <w:rsid w:val="006001CD"/>
    <w:rsid w:val="00620D34"/>
    <w:rsid w:val="00621700"/>
    <w:rsid w:val="00627537"/>
    <w:rsid w:val="006362DF"/>
    <w:rsid w:val="00644BAC"/>
    <w:rsid w:val="0064777F"/>
    <w:rsid w:val="00654906"/>
    <w:rsid w:val="006773C7"/>
    <w:rsid w:val="00685A1F"/>
    <w:rsid w:val="00694A1E"/>
    <w:rsid w:val="00695D0E"/>
    <w:rsid w:val="006A0030"/>
    <w:rsid w:val="006A59A6"/>
    <w:rsid w:val="006A5F53"/>
    <w:rsid w:val="006A648B"/>
    <w:rsid w:val="006B6CD1"/>
    <w:rsid w:val="006C1867"/>
    <w:rsid w:val="006C4357"/>
    <w:rsid w:val="006C4F35"/>
    <w:rsid w:val="006E7807"/>
    <w:rsid w:val="00705CC9"/>
    <w:rsid w:val="00711027"/>
    <w:rsid w:val="00713A70"/>
    <w:rsid w:val="00732CA9"/>
    <w:rsid w:val="00736BEE"/>
    <w:rsid w:val="0075341A"/>
    <w:rsid w:val="00764692"/>
    <w:rsid w:val="007857B4"/>
    <w:rsid w:val="0079319C"/>
    <w:rsid w:val="007952E2"/>
    <w:rsid w:val="00795449"/>
    <w:rsid w:val="00796DC9"/>
    <w:rsid w:val="007A4A15"/>
    <w:rsid w:val="007A5039"/>
    <w:rsid w:val="007B1076"/>
    <w:rsid w:val="007B66CA"/>
    <w:rsid w:val="007D5E7D"/>
    <w:rsid w:val="007F30C2"/>
    <w:rsid w:val="00813E0A"/>
    <w:rsid w:val="00821D32"/>
    <w:rsid w:val="008223EC"/>
    <w:rsid w:val="00825FB7"/>
    <w:rsid w:val="008270C0"/>
    <w:rsid w:val="008276F0"/>
    <w:rsid w:val="00836057"/>
    <w:rsid w:val="00843F4F"/>
    <w:rsid w:val="00850984"/>
    <w:rsid w:val="00854AFC"/>
    <w:rsid w:val="0085563F"/>
    <w:rsid w:val="00865D22"/>
    <w:rsid w:val="00877258"/>
    <w:rsid w:val="0088639B"/>
    <w:rsid w:val="00890CB1"/>
    <w:rsid w:val="008A6A96"/>
    <w:rsid w:val="008B10A2"/>
    <w:rsid w:val="008C1099"/>
    <w:rsid w:val="008C5C79"/>
    <w:rsid w:val="008C5C84"/>
    <w:rsid w:val="008D2645"/>
    <w:rsid w:val="008E341D"/>
    <w:rsid w:val="008E6032"/>
    <w:rsid w:val="008E650C"/>
    <w:rsid w:val="008E7759"/>
    <w:rsid w:val="008F2DEE"/>
    <w:rsid w:val="00903069"/>
    <w:rsid w:val="00921FC9"/>
    <w:rsid w:val="0093500E"/>
    <w:rsid w:val="009575D1"/>
    <w:rsid w:val="0096796F"/>
    <w:rsid w:val="00987A13"/>
    <w:rsid w:val="009A13ED"/>
    <w:rsid w:val="009A3DB5"/>
    <w:rsid w:val="009B6B1A"/>
    <w:rsid w:val="009B726E"/>
    <w:rsid w:val="009C0AB9"/>
    <w:rsid w:val="009C3A87"/>
    <w:rsid w:val="009C7C0E"/>
    <w:rsid w:val="009D0047"/>
    <w:rsid w:val="009D2632"/>
    <w:rsid w:val="009D4F02"/>
    <w:rsid w:val="009D6E6D"/>
    <w:rsid w:val="009F017A"/>
    <w:rsid w:val="009F1057"/>
    <w:rsid w:val="009F48F4"/>
    <w:rsid w:val="009F588A"/>
    <w:rsid w:val="009F5FB2"/>
    <w:rsid w:val="00A0492B"/>
    <w:rsid w:val="00A12735"/>
    <w:rsid w:val="00A154F8"/>
    <w:rsid w:val="00A30CCF"/>
    <w:rsid w:val="00A31A1E"/>
    <w:rsid w:val="00A402D5"/>
    <w:rsid w:val="00A46CED"/>
    <w:rsid w:val="00A5420D"/>
    <w:rsid w:val="00A55A58"/>
    <w:rsid w:val="00A56224"/>
    <w:rsid w:val="00A61255"/>
    <w:rsid w:val="00A619B7"/>
    <w:rsid w:val="00A65D82"/>
    <w:rsid w:val="00A7059C"/>
    <w:rsid w:val="00A7599D"/>
    <w:rsid w:val="00A944DB"/>
    <w:rsid w:val="00AA2635"/>
    <w:rsid w:val="00AA2AEB"/>
    <w:rsid w:val="00AB1DE9"/>
    <w:rsid w:val="00AB4459"/>
    <w:rsid w:val="00AC50CF"/>
    <w:rsid w:val="00AE1B19"/>
    <w:rsid w:val="00AE46A7"/>
    <w:rsid w:val="00AE50C8"/>
    <w:rsid w:val="00AF2CDB"/>
    <w:rsid w:val="00AF7E39"/>
    <w:rsid w:val="00B0431D"/>
    <w:rsid w:val="00B05982"/>
    <w:rsid w:val="00B25D2D"/>
    <w:rsid w:val="00B3287D"/>
    <w:rsid w:val="00B475FC"/>
    <w:rsid w:val="00B60035"/>
    <w:rsid w:val="00B71298"/>
    <w:rsid w:val="00B72120"/>
    <w:rsid w:val="00B72382"/>
    <w:rsid w:val="00B741A6"/>
    <w:rsid w:val="00B75091"/>
    <w:rsid w:val="00B7717B"/>
    <w:rsid w:val="00B8093C"/>
    <w:rsid w:val="00B80B21"/>
    <w:rsid w:val="00B8154F"/>
    <w:rsid w:val="00BB2869"/>
    <w:rsid w:val="00BB77FA"/>
    <w:rsid w:val="00BC3A96"/>
    <w:rsid w:val="00BD2662"/>
    <w:rsid w:val="00BE109F"/>
    <w:rsid w:val="00C05A4E"/>
    <w:rsid w:val="00C11C26"/>
    <w:rsid w:val="00C1738D"/>
    <w:rsid w:val="00C233F6"/>
    <w:rsid w:val="00C30A8B"/>
    <w:rsid w:val="00C33B57"/>
    <w:rsid w:val="00C360DA"/>
    <w:rsid w:val="00C47893"/>
    <w:rsid w:val="00C534A9"/>
    <w:rsid w:val="00C63C8E"/>
    <w:rsid w:val="00C665C8"/>
    <w:rsid w:val="00C731DF"/>
    <w:rsid w:val="00C7492D"/>
    <w:rsid w:val="00C9299F"/>
    <w:rsid w:val="00C944A5"/>
    <w:rsid w:val="00CA53BB"/>
    <w:rsid w:val="00CC0586"/>
    <w:rsid w:val="00CC069A"/>
    <w:rsid w:val="00CC6B5B"/>
    <w:rsid w:val="00CE0462"/>
    <w:rsid w:val="00CE4079"/>
    <w:rsid w:val="00CF224C"/>
    <w:rsid w:val="00CF303B"/>
    <w:rsid w:val="00CF7FE6"/>
    <w:rsid w:val="00D02703"/>
    <w:rsid w:val="00D04505"/>
    <w:rsid w:val="00D12925"/>
    <w:rsid w:val="00D16CAB"/>
    <w:rsid w:val="00D31D53"/>
    <w:rsid w:val="00D32AC5"/>
    <w:rsid w:val="00D4157F"/>
    <w:rsid w:val="00D41C80"/>
    <w:rsid w:val="00D42E39"/>
    <w:rsid w:val="00D5531D"/>
    <w:rsid w:val="00D65C02"/>
    <w:rsid w:val="00D6740D"/>
    <w:rsid w:val="00D734A2"/>
    <w:rsid w:val="00D74B40"/>
    <w:rsid w:val="00D758A8"/>
    <w:rsid w:val="00D83FD4"/>
    <w:rsid w:val="00D866A1"/>
    <w:rsid w:val="00D90F47"/>
    <w:rsid w:val="00D95EB1"/>
    <w:rsid w:val="00DA34BB"/>
    <w:rsid w:val="00DB0AE8"/>
    <w:rsid w:val="00DB48DD"/>
    <w:rsid w:val="00DC37FC"/>
    <w:rsid w:val="00DD53C6"/>
    <w:rsid w:val="00DE3E57"/>
    <w:rsid w:val="00DF7D81"/>
    <w:rsid w:val="00DF7E5A"/>
    <w:rsid w:val="00E01C88"/>
    <w:rsid w:val="00E17124"/>
    <w:rsid w:val="00E226F5"/>
    <w:rsid w:val="00E247AF"/>
    <w:rsid w:val="00E35383"/>
    <w:rsid w:val="00E367DB"/>
    <w:rsid w:val="00E36A45"/>
    <w:rsid w:val="00E464D0"/>
    <w:rsid w:val="00E51ADA"/>
    <w:rsid w:val="00E60AB5"/>
    <w:rsid w:val="00E90ADB"/>
    <w:rsid w:val="00E951A9"/>
    <w:rsid w:val="00EB75B5"/>
    <w:rsid w:val="00EB7994"/>
    <w:rsid w:val="00EC7344"/>
    <w:rsid w:val="00ED70AD"/>
    <w:rsid w:val="00EE16D0"/>
    <w:rsid w:val="00EE4B2C"/>
    <w:rsid w:val="00EE7EF9"/>
    <w:rsid w:val="00EF2004"/>
    <w:rsid w:val="00EF63C4"/>
    <w:rsid w:val="00F139AE"/>
    <w:rsid w:val="00F13A61"/>
    <w:rsid w:val="00F36BAA"/>
    <w:rsid w:val="00F36CEE"/>
    <w:rsid w:val="00F40E2B"/>
    <w:rsid w:val="00F41CCC"/>
    <w:rsid w:val="00F5048D"/>
    <w:rsid w:val="00F66BF7"/>
    <w:rsid w:val="00F713C5"/>
    <w:rsid w:val="00F725DC"/>
    <w:rsid w:val="00F73A6A"/>
    <w:rsid w:val="00F75BB7"/>
    <w:rsid w:val="00F964F4"/>
    <w:rsid w:val="00FA5784"/>
    <w:rsid w:val="00FB3E1D"/>
    <w:rsid w:val="00FB5E22"/>
    <w:rsid w:val="00FC29C9"/>
    <w:rsid w:val="00FD51BA"/>
    <w:rsid w:val="00FF57EA"/>
    <w:rsid w:val="65432A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nhideWhenUsed="0" w:uiPriority="0" w:semiHidden="0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nhideWhenUsed="0" w:uiPriority="0" w:semiHidden="0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7"/>
    <w:qFormat/>
    <w:uiPriority w:val="0"/>
    <w:pPr>
      <w:keepNext/>
      <w:keepLines/>
      <w:widowControl/>
      <w:spacing w:before="260" w:after="260" w:line="416" w:lineRule="auto"/>
      <w:jc w:val="left"/>
      <w:outlineLvl w:val="1"/>
    </w:pPr>
    <w:rPr>
      <w:rFonts w:ascii="Cambria" w:hAnsi="Cambria" w:eastAsia="Times New Roman" w:cs="Times New Roman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23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6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 w:cs="Times New Roman"/>
      <w:b/>
      <w:bCs/>
      <w:sz w:val="28"/>
      <w:szCs w:val="28"/>
    </w:rPr>
  </w:style>
  <w:style w:type="character" w:default="1" w:styleId="13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link w:val="22"/>
    <w:semiHidden/>
    <w:unhideWhenUsed/>
    <w:uiPriority w:val="99"/>
    <w:rPr>
      <w:rFonts w:ascii="宋体" w:eastAsia="宋体"/>
      <w:sz w:val="18"/>
      <w:szCs w:val="18"/>
    </w:rPr>
  </w:style>
  <w:style w:type="paragraph" w:styleId="7">
    <w:name w:val="Balloon Text"/>
    <w:basedOn w:val="1"/>
    <w:link w:val="80"/>
    <w:semiHidden/>
    <w:unhideWhenUsed/>
    <w:uiPriority w:val="99"/>
    <w:rPr>
      <w:sz w:val="18"/>
      <w:szCs w:val="18"/>
    </w:rPr>
  </w:style>
  <w:style w:type="paragraph" w:styleId="8">
    <w:name w:val="footer"/>
    <w:basedOn w:val="1"/>
    <w:link w:val="2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unhideWhenUsed/>
    <w:uiPriority w:val="39"/>
    <w:pPr>
      <w:spacing w:line="360" w:lineRule="auto"/>
      <w:outlineLvl w:val="0"/>
    </w:pPr>
    <w:rPr>
      <w:rFonts w:ascii="Times New Roman" w:hAnsi="Times New Roman" w:eastAsia="黑体"/>
      <w:sz w:val="28"/>
    </w:rPr>
  </w:style>
  <w:style w:type="paragraph" w:styleId="11">
    <w:name w:val="footnote text"/>
    <w:basedOn w:val="1"/>
    <w:link w:val="62"/>
    <w:uiPriority w:val="0"/>
    <w:pPr>
      <w:snapToGrid w:val="0"/>
      <w:jc w:val="left"/>
    </w:pPr>
    <w:rPr>
      <w:rFonts w:ascii="Times New Roman" w:hAnsi="Times New Roman" w:eastAsia="Times New Roman" w:cs="Times New Roman"/>
      <w:sz w:val="18"/>
      <w:szCs w:val="18"/>
    </w:rPr>
  </w:style>
  <w:style w:type="paragraph" w:styleId="12">
    <w:name w:val="toc 2"/>
    <w:basedOn w:val="1"/>
    <w:next w:val="1"/>
    <w:link w:val="63"/>
    <w:unhideWhenUsed/>
    <w:uiPriority w:val="39"/>
    <w:pPr>
      <w:spacing w:line="360" w:lineRule="auto"/>
      <w:ind w:left="200" w:leftChars="200"/>
      <w:jc w:val="left"/>
      <w:outlineLvl w:val="1"/>
    </w:pPr>
    <w:rPr>
      <w:rFonts w:ascii="Times New Roman" w:hAnsi="Times New Roman" w:eastAsia="黑体" w:cs="Times New Roman"/>
      <w:kern w:val="0"/>
      <w:sz w:val="24"/>
      <w:szCs w:val="32"/>
    </w:rPr>
  </w:style>
  <w:style w:type="character" w:styleId="14">
    <w:name w:val="Strong"/>
    <w:qFormat/>
    <w:uiPriority w:val="0"/>
    <w:rPr>
      <w:b/>
      <w:bCs/>
    </w:rPr>
  </w:style>
  <w:style w:type="character" w:styleId="15">
    <w:name w:val="page number"/>
    <w:basedOn w:val="13"/>
    <w:uiPriority w:val="0"/>
  </w:style>
  <w:style w:type="character" w:styleId="16">
    <w:name w:val="Hyperlink"/>
    <w:basedOn w:val="13"/>
    <w:unhideWhenUsed/>
    <w:qFormat/>
    <w:uiPriority w:val="99"/>
    <w:rPr>
      <w:color w:val="0000FF" w:themeColor="hyperlink"/>
      <w:u w:val="single"/>
    </w:rPr>
  </w:style>
  <w:style w:type="character" w:styleId="17">
    <w:name w:val="footnote reference"/>
    <w:basedOn w:val="13"/>
    <w:uiPriority w:val="0"/>
    <w:rPr>
      <w:vertAlign w:val="superscript"/>
    </w:rPr>
  </w:style>
  <w:style w:type="table" w:styleId="19">
    <w:name w:val="Table Grid"/>
    <w:basedOn w:val="18"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页眉 Char"/>
    <w:basedOn w:val="13"/>
    <w:link w:val="9"/>
    <w:uiPriority w:val="99"/>
    <w:rPr>
      <w:sz w:val="18"/>
      <w:szCs w:val="18"/>
    </w:rPr>
  </w:style>
  <w:style w:type="character" w:customStyle="1" w:styleId="21">
    <w:name w:val="页脚 Char"/>
    <w:basedOn w:val="13"/>
    <w:link w:val="8"/>
    <w:uiPriority w:val="99"/>
    <w:rPr>
      <w:sz w:val="18"/>
      <w:szCs w:val="18"/>
    </w:rPr>
  </w:style>
  <w:style w:type="character" w:customStyle="1" w:styleId="22">
    <w:name w:val="文档结构图 Char"/>
    <w:basedOn w:val="13"/>
    <w:link w:val="6"/>
    <w:uiPriority w:val="0"/>
    <w:rPr>
      <w:rFonts w:ascii="宋体" w:eastAsia="宋体"/>
      <w:sz w:val="18"/>
      <w:szCs w:val="18"/>
    </w:rPr>
  </w:style>
  <w:style w:type="character" w:customStyle="1" w:styleId="23">
    <w:name w:val="标题 3 Char"/>
    <w:basedOn w:val="13"/>
    <w:link w:val="4"/>
    <w:uiPriority w:val="0"/>
    <w:rPr>
      <w:b/>
      <w:bCs/>
      <w:sz w:val="32"/>
      <w:szCs w:val="32"/>
    </w:rPr>
  </w:style>
  <w:style w:type="character" w:customStyle="1" w:styleId="24">
    <w:name w:val="标题 1 Char"/>
    <w:basedOn w:val="13"/>
    <w:link w:val="2"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5">
    <w:name w:val="标题 2 Char"/>
    <w:basedOn w:val="13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6">
    <w:name w:val="标题 4 Char"/>
    <w:basedOn w:val="13"/>
    <w:link w:val="5"/>
    <w:uiPriority w:val="0"/>
    <w:rPr>
      <w:rFonts w:ascii="Arial" w:hAnsi="Arial" w:eastAsia="黑体" w:cs="Times New Roman"/>
      <w:b/>
      <w:bCs/>
      <w:sz w:val="28"/>
      <w:szCs w:val="28"/>
    </w:rPr>
  </w:style>
  <w:style w:type="character" w:customStyle="1" w:styleId="27">
    <w:name w:val="标题 2 Char1"/>
    <w:link w:val="3"/>
    <w:uiPriority w:val="0"/>
    <w:rPr>
      <w:rFonts w:ascii="Cambria" w:hAnsi="Cambria" w:eastAsia="Times New Roman" w:cs="Times New Roman"/>
      <w:b/>
      <w:bCs/>
      <w:kern w:val="0"/>
      <w:sz w:val="32"/>
      <w:szCs w:val="32"/>
    </w:rPr>
  </w:style>
  <w:style w:type="paragraph" w:customStyle="1" w:styleId="28">
    <w:name w:val="Char Char Char Char"/>
    <w:basedOn w:val="6"/>
    <w:uiPriority w:val="0"/>
  </w:style>
  <w:style w:type="character" w:customStyle="1" w:styleId="29">
    <w:name w:val="文档结构图 Char1"/>
    <w:basedOn w:val="13"/>
    <w:semiHidden/>
    <w:uiPriority w:val="99"/>
    <w:rPr>
      <w:rFonts w:eastAsia="Times New Roman"/>
      <w:kern w:val="2"/>
      <w:sz w:val="28"/>
      <w:szCs w:val="24"/>
      <w:shd w:val="clear" w:color="auto" w:fill="000080"/>
    </w:rPr>
  </w:style>
  <w:style w:type="paragraph" w:customStyle="1" w:styleId="30">
    <w:name w:val="正文专用"/>
    <w:basedOn w:val="1"/>
    <w:qFormat/>
    <w:uiPriority w:val="0"/>
    <w:pPr>
      <w:snapToGrid w:val="0"/>
      <w:spacing w:line="360" w:lineRule="auto"/>
      <w:ind w:firstLine="560" w:firstLineChars="200"/>
      <w:jc w:val="left"/>
    </w:pPr>
    <w:rPr>
      <w:rFonts w:ascii="Times New Roman" w:hAnsi="Times New Roman" w:eastAsia="仿宋_GB2312" w:cs="Times New Roman"/>
      <w:sz w:val="28"/>
      <w:szCs w:val="21"/>
    </w:rPr>
  </w:style>
  <w:style w:type="character" w:customStyle="1" w:styleId="31">
    <w:name w:val="纯文本 Char"/>
    <w:basedOn w:val="13"/>
    <w:link w:val="32"/>
    <w:uiPriority w:val="0"/>
    <w:rPr>
      <w:rFonts w:ascii="宋体" w:hAnsi="Courier New"/>
      <w:lang w:val="en-US" w:eastAsia="zh-CN"/>
    </w:rPr>
  </w:style>
  <w:style w:type="paragraph" w:customStyle="1" w:styleId="32">
    <w:name w:val="纯文本1"/>
    <w:basedOn w:val="1"/>
    <w:link w:val="31"/>
    <w:uiPriority w:val="0"/>
    <w:rPr>
      <w:rFonts w:ascii="宋体" w:hAnsi="Courier New"/>
    </w:rPr>
  </w:style>
  <w:style w:type="character" w:customStyle="1" w:styleId="33">
    <w:name w:val="txt1"/>
    <w:uiPriority w:val="0"/>
    <w:rPr>
      <w:color w:val="000000"/>
      <w:sz w:val="22"/>
      <w:szCs w:val="22"/>
    </w:rPr>
  </w:style>
  <w:style w:type="character" w:customStyle="1" w:styleId="34">
    <w:name w:val="正文文本缩进 Char"/>
    <w:basedOn w:val="13"/>
    <w:link w:val="35"/>
    <w:qFormat/>
    <w:uiPriority w:val="0"/>
    <w:rPr>
      <w:rFonts w:eastAsia="仿宋"/>
      <w:sz w:val="28"/>
      <w:szCs w:val="24"/>
    </w:rPr>
  </w:style>
  <w:style w:type="paragraph" w:customStyle="1" w:styleId="35">
    <w:name w:val="正文文本缩进1"/>
    <w:basedOn w:val="1"/>
    <w:link w:val="34"/>
    <w:uiPriority w:val="0"/>
    <w:pPr>
      <w:ind w:firstLine="540" w:firstLineChars="257"/>
    </w:pPr>
    <w:rPr>
      <w:rFonts w:eastAsia="仿宋"/>
      <w:sz w:val="28"/>
      <w:szCs w:val="24"/>
    </w:rPr>
  </w:style>
  <w:style w:type="character" w:customStyle="1" w:styleId="36">
    <w:name w:val="正文文本缩进 3 Char"/>
    <w:basedOn w:val="13"/>
    <w:link w:val="37"/>
    <w:uiPriority w:val="0"/>
    <w:rPr>
      <w:rFonts w:eastAsia="仿宋"/>
      <w:color w:val="000000"/>
      <w:sz w:val="24"/>
      <w:szCs w:val="24"/>
    </w:rPr>
  </w:style>
  <w:style w:type="paragraph" w:customStyle="1" w:styleId="37">
    <w:name w:val="正文文本缩进 31"/>
    <w:basedOn w:val="1"/>
    <w:link w:val="36"/>
    <w:uiPriority w:val="0"/>
    <w:pPr>
      <w:spacing w:beforeLines="50" w:afterLines="50" w:line="400" w:lineRule="exact"/>
      <w:ind w:firstLine="480" w:firstLineChars="200"/>
    </w:pPr>
    <w:rPr>
      <w:rFonts w:eastAsia="仿宋"/>
      <w:color w:val="000000"/>
      <w:sz w:val="24"/>
      <w:szCs w:val="24"/>
    </w:rPr>
  </w:style>
  <w:style w:type="character" w:customStyle="1" w:styleId="38">
    <w:name w:val="普通文字 Char Char Char Char Char Char Char Char"/>
    <w:uiPriority w:val="0"/>
    <w:rPr>
      <w:rFonts w:ascii="宋体" w:hAnsi="Courier New" w:eastAsia="宋体"/>
      <w:kern w:val="2"/>
      <w:sz w:val="21"/>
      <w:lang w:val="en-US" w:eastAsia="zh-CN"/>
    </w:rPr>
  </w:style>
  <w:style w:type="character" w:customStyle="1" w:styleId="39">
    <w:name w:val="highlight1"/>
    <w:uiPriority w:val="0"/>
    <w:rPr>
      <w:sz w:val="21"/>
      <w:szCs w:val="21"/>
    </w:rPr>
  </w:style>
  <w:style w:type="character" w:customStyle="1" w:styleId="40">
    <w:name w:val="正文文本缩进 2 Char"/>
    <w:basedOn w:val="13"/>
    <w:link w:val="41"/>
    <w:uiPriority w:val="0"/>
    <w:rPr>
      <w:rFonts w:eastAsia="仿宋"/>
      <w:sz w:val="28"/>
      <w:szCs w:val="24"/>
    </w:rPr>
  </w:style>
  <w:style w:type="paragraph" w:customStyle="1" w:styleId="41">
    <w:name w:val="正文文本缩进 21"/>
    <w:basedOn w:val="1"/>
    <w:link w:val="40"/>
    <w:uiPriority w:val="0"/>
    <w:pPr>
      <w:spacing w:after="120" w:line="480" w:lineRule="auto"/>
      <w:ind w:left="420"/>
    </w:pPr>
    <w:rPr>
      <w:rFonts w:eastAsia="仿宋"/>
      <w:sz w:val="28"/>
      <w:szCs w:val="24"/>
    </w:rPr>
  </w:style>
  <w:style w:type="character" w:customStyle="1" w:styleId="42">
    <w:name w:val="正文文本 Char"/>
    <w:basedOn w:val="13"/>
    <w:link w:val="43"/>
    <w:uiPriority w:val="0"/>
    <w:rPr>
      <w:rFonts w:eastAsia="仿宋"/>
      <w:sz w:val="28"/>
      <w:szCs w:val="24"/>
    </w:rPr>
  </w:style>
  <w:style w:type="paragraph" w:customStyle="1" w:styleId="43">
    <w:name w:val="正文文本1"/>
    <w:basedOn w:val="1"/>
    <w:link w:val="42"/>
    <w:uiPriority w:val="0"/>
    <w:pPr>
      <w:spacing w:after="120"/>
    </w:pPr>
    <w:rPr>
      <w:rFonts w:eastAsia="仿宋"/>
      <w:sz w:val="28"/>
      <w:szCs w:val="24"/>
    </w:rPr>
  </w:style>
  <w:style w:type="character" w:customStyle="1" w:styleId="44">
    <w:name w:val="f14b1"/>
    <w:uiPriority w:val="0"/>
    <w:rPr>
      <w:b/>
      <w:bCs/>
      <w:sz w:val="21"/>
      <w:szCs w:val="21"/>
    </w:rPr>
  </w:style>
  <w:style w:type="character" w:customStyle="1" w:styleId="45">
    <w:name w:val="日期 Char"/>
    <w:basedOn w:val="13"/>
    <w:link w:val="46"/>
    <w:qFormat/>
    <w:uiPriority w:val="0"/>
    <w:rPr>
      <w:rFonts w:eastAsia="仿宋"/>
      <w:sz w:val="28"/>
    </w:rPr>
  </w:style>
  <w:style w:type="paragraph" w:customStyle="1" w:styleId="46">
    <w:name w:val="日期1"/>
    <w:basedOn w:val="1"/>
    <w:next w:val="1"/>
    <w:link w:val="45"/>
    <w:uiPriority w:val="0"/>
    <w:rPr>
      <w:rFonts w:eastAsia="仿宋"/>
      <w:sz w:val="28"/>
    </w:rPr>
  </w:style>
  <w:style w:type="character" w:customStyle="1" w:styleId="47">
    <w:name w:val="批注框文本 Char"/>
    <w:basedOn w:val="13"/>
    <w:link w:val="48"/>
    <w:uiPriority w:val="0"/>
    <w:rPr>
      <w:rFonts w:eastAsia="仿宋"/>
      <w:sz w:val="18"/>
      <w:szCs w:val="18"/>
    </w:rPr>
  </w:style>
  <w:style w:type="paragraph" w:customStyle="1" w:styleId="48">
    <w:name w:val="批注框文本1"/>
    <w:basedOn w:val="1"/>
    <w:link w:val="47"/>
    <w:uiPriority w:val="0"/>
    <w:rPr>
      <w:rFonts w:eastAsia="仿宋"/>
      <w:sz w:val="18"/>
      <w:szCs w:val="18"/>
    </w:rPr>
  </w:style>
  <w:style w:type="character" w:customStyle="1" w:styleId="49">
    <w:name w:val="biaoti1"/>
    <w:uiPriority w:val="0"/>
    <w:rPr>
      <w:b/>
      <w:bCs/>
      <w:sz w:val="49"/>
      <w:szCs w:val="49"/>
    </w:rPr>
  </w:style>
  <w:style w:type="character" w:customStyle="1" w:styleId="50">
    <w:name w:val="批注引用1"/>
    <w:uiPriority w:val="0"/>
    <w:rPr>
      <w:sz w:val="21"/>
      <w:szCs w:val="21"/>
    </w:rPr>
  </w:style>
  <w:style w:type="character" w:customStyle="1" w:styleId="51">
    <w:name w:val="批注文字 Char"/>
    <w:basedOn w:val="13"/>
    <w:link w:val="52"/>
    <w:uiPriority w:val="0"/>
    <w:rPr>
      <w:rFonts w:eastAsia="仿宋"/>
      <w:sz w:val="28"/>
      <w:szCs w:val="24"/>
    </w:rPr>
  </w:style>
  <w:style w:type="paragraph" w:customStyle="1" w:styleId="52">
    <w:name w:val="批注文字1"/>
    <w:basedOn w:val="1"/>
    <w:link w:val="51"/>
    <w:uiPriority w:val="0"/>
    <w:pPr>
      <w:jc w:val="left"/>
    </w:pPr>
    <w:rPr>
      <w:rFonts w:eastAsia="仿宋"/>
      <w:sz w:val="28"/>
      <w:szCs w:val="24"/>
    </w:rPr>
  </w:style>
  <w:style w:type="character" w:customStyle="1" w:styleId="53">
    <w:name w:val="已访问的超链接1"/>
    <w:uiPriority w:val="0"/>
    <w:rPr>
      <w:color w:val="800080"/>
      <w:u w:val="single"/>
    </w:rPr>
  </w:style>
  <w:style w:type="character" w:customStyle="1" w:styleId="54">
    <w:name w:val="脚注文本 Char"/>
    <w:basedOn w:val="13"/>
    <w:link w:val="55"/>
    <w:uiPriority w:val="0"/>
    <w:rPr>
      <w:rFonts w:eastAsia="仿宋"/>
      <w:sz w:val="18"/>
      <w:szCs w:val="18"/>
    </w:rPr>
  </w:style>
  <w:style w:type="paragraph" w:customStyle="1" w:styleId="55">
    <w:name w:val="脚注文本1"/>
    <w:basedOn w:val="1"/>
    <w:link w:val="54"/>
    <w:uiPriority w:val="0"/>
    <w:pPr>
      <w:snapToGrid w:val="0"/>
      <w:jc w:val="left"/>
    </w:pPr>
    <w:rPr>
      <w:rFonts w:eastAsia="仿宋"/>
      <w:sz w:val="18"/>
      <w:szCs w:val="18"/>
    </w:rPr>
  </w:style>
  <w:style w:type="character" w:customStyle="1" w:styleId="56">
    <w:name w:val="脚注引用1"/>
    <w:uiPriority w:val="0"/>
    <w:rPr>
      <w:vertAlign w:val="superscript"/>
    </w:rPr>
  </w:style>
  <w:style w:type="character" w:customStyle="1" w:styleId="57">
    <w:name w:val="批注主题 Char"/>
    <w:basedOn w:val="51"/>
    <w:link w:val="58"/>
    <w:qFormat/>
    <w:uiPriority w:val="0"/>
    <w:rPr>
      <w:rFonts w:eastAsia="仿宋"/>
      <w:b/>
      <w:bCs/>
      <w:sz w:val="28"/>
      <w:szCs w:val="24"/>
    </w:rPr>
  </w:style>
  <w:style w:type="paragraph" w:customStyle="1" w:styleId="58">
    <w:name w:val="批注主题1"/>
    <w:basedOn w:val="52"/>
    <w:next w:val="52"/>
    <w:link w:val="57"/>
    <w:uiPriority w:val="0"/>
    <w:rPr>
      <w:b/>
      <w:bCs/>
    </w:rPr>
  </w:style>
  <w:style w:type="paragraph" w:customStyle="1" w:styleId="59">
    <w:name w:val="文档结构图1"/>
    <w:basedOn w:val="1"/>
    <w:uiPriority w:val="0"/>
    <w:pPr>
      <w:shd w:val="clear" w:color="auto" w:fill="000080"/>
    </w:pPr>
    <w:rPr>
      <w:rFonts w:ascii="Times New Roman" w:hAnsi="Times New Roman" w:eastAsia="仿宋" w:cs="Times New Roman"/>
      <w:kern w:val="0"/>
      <w:sz w:val="28"/>
      <w:szCs w:val="24"/>
      <w:shd w:val="clear" w:color="auto" w:fill="000080"/>
    </w:rPr>
  </w:style>
  <w:style w:type="character" w:customStyle="1" w:styleId="60">
    <w:name w:val="段 Char"/>
    <w:link w:val="61"/>
    <w:uiPriority w:val="0"/>
    <w:rPr>
      <w:rFonts w:ascii="宋体"/>
    </w:rPr>
  </w:style>
  <w:style w:type="paragraph" w:customStyle="1" w:styleId="61">
    <w:name w:val="段"/>
    <w:link w:val="60"/>
    <w:uiPriority w:val="0"/>
    <w:pPr>
      <w:autoSpaceDE w:val="0"/>
      <w:autoSpaceDN w:val="0"/>
      <w:ind w:firstLine="200" w:firstLineChars="200"/>
      <w:jc w:val="both"/>
    </w:pPr>
    <w:rPr>
      <w:rFonts w:ascii="宋体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62">
    <w:name w:val="脚注文本 Char1"/>
    <w:basedOn w:val="13"/>
    <w:link w:val="11"/>
    <w:uiPriority w:val="0"/>
    <w:rPr>
      <w:rFonts w:ascii="Times New Roman" w:hAnsi="Times New Roman" w:eastAsia="Times New Roman" w:cs="Times New Roman"/>
      <w:sz w:val="18"/>
      <w:szCs w:val="18"/>
    </w:rPr>
  </w:style>
  <w:style w:type="character" w:customStyle="1" w:styleId="63">
    <w:name w:val="目录 2 Char"/>
    <w:basedOn w:val="13"/>
    <w:link w:val="12"/>
    <w:uiPriority w:val="39"/>
    <w:rPr>
      <w:rFonts w:ascii="Times New Roman" w:hAnsi="Times New Roman" w:eastAsia="黑体" w:cs="Times New Roman"/>
      <w:kern w:val="0"/>
      <w:sz w:val="24"/>
      <w:szCs w:val="32"/>
    </w:rPr>
  </w:style>
  <w:style w:type="paragraph" w:customStyle="1" w:styleId="64">
    <w:name w:val="Char Char Char Char1"/>
    <w:basedOn w:val="6"/>
    <w:uiPriority w:val="0"/>
    <w:pPr>
      <w:widowControl/>
      <w:shd w:val="clear" w:color="auto" w:fill="000080"/>
      <w:jc w:val="left"/>
    </w:pPr>
    <w:rPr>
      <w:rFonts w:ascii="Times New Roman" w:hAnsi="Times New Roman" w:eastAsia="Times New Roman" w:cs="宋体"/>
      <w:kern w:val="0"/>
      <w:sz w:val="24"/>
      <w:szCs w:val="20"/>
    </w:rPr>
  </w:style>
  <w:style w:type="paragraph" w:customStyle="1" w:styleId="65">
    <w:name w:val="纯文本2"/>
    <w:basedOn w:val="1"/>
    <w:uiPriority w:val="0"/>
    <w:rPr>
      <w:rFonts w:ascii="宋体" w:hAnsi="Courier New" w:eastAsia="宋体" w:cs="Times New Roman"/>
      <w:kern w:val="0"/>
      <w:sz w:val="20"/>
      <w:szCs w:val="20"/>
    </w:rPr>
  </w:style>
  <w:style w:type="paragraph" w:customStyle="1" w:styleId="66">
    <w:name w:val="正文文本缩进2"/>
    <w:basedOn w:val="1"/>
    <w:uiPriority w:val="0"/>
    <w:pPr>
      <w:ind w:firstLine="540" w:firstLineChars="257"/>
    </w:pPr>
    <w:rPr>
      <w:rFonts w:ascii="Times New Roman" w:hAnsi="Times New Roman" w:eastAsia="仿宋" w:cs="Times New Roman"/>
      <w:kern w:val="0"/>
      <w:sz w:val="28"/>
      <w:szCs w:val="24"/>
    </w:rPr>
  </w:style>
  <w:style w:type="paragraph" w:customStyle="1" w:styleId="67">
    <w:name w:val="正文文本缩进 32"/>
    <w:basedOn w:val="1"/>
    <w:uiPriority w:val="0"/>
    <w:pPr>
      <w:spacing w:beforeLines="50" w:afterLines="50" w:line="400" w:lineRule="exact"/>
      <w:ind w:firstLine="480" w:firstLineChars="200"/>
    </w:pPr>
    <w:rPr>
      <w:rFonts w:ascii="Times New Roman" w:hAnsi="Times New Roman" w:eastAsia="仿宋" w:cs="Times New Roman"/>
      <w:color w:val="000000"/>
      <w:kern w:val="0"/>
      <w:sz w:val="24"/>
      <w:szCs w:val="24"/>
    </w:rPr>
  </w:style>
  <w:style w:type="paragraph" w:customStyle="1" w:styleId="68">
    <w:name w:val="正文文本缩进 22"/>
    <w:basedOn w:val="1"/>
    <w:uiPriority w:val="0"/>
    <w:pPr>
      <w:spacing w:after="120" w:line="480" w:lineRule="auto"/>
      <w:ind w:left="420"/>
    </w:pPr>
    <w:rPr>
      <w:rFonts w:ascii="Times New Roman" w:hAnsi="Times New Roman" w:eastAsia="仿宋" w:cs="Times New Roman"/>
      <w:kern w:val="0"/>
      <w:sz w:val="28"/>
      <w:szCs w:val="24"/>
    </w:rPr>
  </w:style>
  <w:style w:type="paragraph" w:customStyle="1" w:styleId="69">
    <w:name w:val="正文文本2"/>
    <w:basedOn w:val="1"/>
    <w:uiPriority w:val="0"/>
    <w:pPr>
      <w:spacing w:after="120"/>
    </w:pPr>
    <w:rPr>
      <w:rFonts w:ascii="Times New Roman" w:hAnsi="Times New Roman" w:eastAsia="仿宋" w:cs="Times New Roman"/>
      <w:kern w:val="0"/>
      <w:sz w:val="28"/>
      <w:szCs w:val="24"/>
    </w:rPr>
  </w:style>
  <w:style w:type="paragraph" w:customStyle="1" w:styleId="70">
    <w:name w:val="日期2"/>
    <w:basedOn w:val="1"/>
    <w:next w:val="1"/>
    <w:uiPriority w:val="0"/>
    <w:rPr>
      <w:rFonts w:ascii="Times New Roman" w:hAnsi="Times New Roman" w:eastAsia="仿宋" w:cs="Times New Roman"/>
      <w:kern w:val="0"/>
      <w:sz w:val="28"/>
      <w:szCs w:val="20"/>
    </w:rPr>
  </w:style>
  <w:style w:type="paragraph" w:customStyle="1" w:styleId="71">
    <w:name w:val="批注框文本2"/>
    <w:basedOn w:val="1"/>
    <w:uiPriority w:val="0"/>
    <w:rPr>
      <w:rFonts w:ascii="Times New Roman" w:hAnsi="Times New Roman" w:eastAsia="仿宋" w:cs="Times New Roman"/>
      <w:kern w:val="0"/>
      <w:sz w:val="18"/>
      <w:szCs w:val="18"/>
    </w:rPr>
  </w:style>
  <w:style w:type="character" w:customStyle="1" w:styleId="72">
    <w:name w:val="批注引用2"/>
    <w:uiPriority w:val="0"/>
    <w:rPr>
      <w:sz w:val="21"/>
      <w:szCs w:val="21"/>
    </w:rPr>
  </w:style>
  <w:style w:type="paragraph" w:customStyle="1" w:styleId="73">
    <w:name w:val="批注文字2"/>
    <w:basedOn w:val="1"/>
    <w:uiPriority w:val="0"/>
    <w:pPr>
      <w:jc w:val="left"/>
    </w:pPr>
    <w:rPr>
      <w:rFonts w:ascii="Times New Roman" w:hAnsi="Times New Roman" w:eastAsia="仿宋" w:cs="Times New Roman"/>
      <w:kern w:val="0"/>
      <w:sz w:val="28"/>
      <w:szCs w:val="24"/>
    </w:rPr>
  </w:style>
  <w:style w:type="character" w:customStyle="1" w:styleId="74">
    <w:name w:val="已访问的超链接2"/>
    <w:uiPriority w:val="0"/>
    <w:rPr>
      <w:color w:val="800080"/>
      <w:u w:val="single"/>
    </w:rPr>
  </w:style>
  <w:style w:type="paragraph" w:customStyle="1" w:styleId="75">
    <w:name w:val="脚注文本2"/>
    <w:basedOn w:val="1"/>
    <w:uiPriority w:val="0"/>
    <w:pPr>
      <w:snapToGrid w:val="0"/>
      <w:jc w:val="left"/>
    </w:pPr>
    <w:rPr>
      <w:rFonts w:ascii="Times New Roman" w:hAnsi="Times New Roman" w:eastAsia="仿宋" w:cs="Times New Roman"/>
      <w:kern w:val="0"/>
      <w:sz w:val="18"/>
      <w:szCs w:val="18"/>
    </w:rPr>
  </w:style>
  <w:style w:type="character" w:customStyle="1" w:styleId="76">
    <w:name w:val="脚注引用2"/>
    <w:uiPriority w:val="0"/>
    <w:rPr>
      <w:vertAlign w:val="superscript"/>
    </w:rPr>
  </w:style>
  <w:style w:type="paragraph" w:customStyle="1" w:styleId="77">
    <w:name w:val="批注主题2"/>
    <w:basedOn w:val="73"/>
    <w:next w:val="73"/>
    <w:uiPriority w:val="0"/>
    <w:rPr>
      <w:b/>
      <w:bCs/>
    </w:rPr>
  </w:style>
  <w:style w:type="paragraph" w:customStyle="1" w:styleId="78">
    <w:name w:val="文档结构图2"/>
    <w:basedOn w:val="1"/>
    <w:uiPriority w:val="0"/>
    <w:pPr>
      <w:shd w:val="clear" w:color="auto" w:fill="000080"/>
    </w:pPr>
    <w:rPr>
      <w:rFonts w:ascii="Times New Roman" w:hAnsi="Times New Roman" w:eastAsia="仿宋" w:cs="Times New Roman"/>
      <w:kern w:val="0"/>
      <w:sz w:val="28"/>
      <w:szCs w:val="24"/>
      <w:shd w:val="clear" w:color="auto" w:fill="000080"/>
    </w:rPr>
  </w:style>
  <w:style w:type="paragraph" w:customStyle="1" w:styleId="79">
    <w:name w:val="TOC Heading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  <w:style w:type="character" w:customStyle="1" w:styleId="80">
    <w:name w:val="批注框文本 Char1"/>
    <w:basedOn w:val="13"/>
    <w:link w:val="7"/>
    <w:semiHidden/>
    <w:uiPriority w:val="99"/>
    <w:rPr>
      <w:sz w:val="18"/>
      <w:szCs w:val="18"/>
    </w:rPr>
  </w:style>
  <w:style w:type="paragraph" w:styleId="8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3308942-6E95-4DD8-A075-CCBF7021B3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13</Pages>
  <Words>2865</Words>
  <Characters>16334</Characters>
  <Lines>136</Lines>
  <Paragraphs>38</Paragraphs>
  <TotalTime>1621</TotalTime>
  <ScaleCrop>false</ScaleCrop>
  <LinksUpToDate>false</LinksUpToDate>
  <CharactersWithSpaces>19161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2016-12-11T08:24:00Z</dcterms:created>
  <dc:creator>X</dc:creator>
  <cp:lastModifiedBy>Administrator</cp:lastModifiedBy>
  <cp:lastPrinted>2017-07-04T09:34:00Z</cp:lastPrinted>
  <dcterms:modified xsi:type="dcterms:W3CDTF">2018-06-27T08:23:29Z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