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Toc469236685"/>
      <w:bookmarkStart w:id="1" w:name="_Toc469067200"/>
      <w:bookmarkStart w:id="2" w:name="_Toc468872185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船湾镇土地利用总体规划（2006-2020年）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2016年调整完善方案</w:t>
      </w:r>
    </w:p>
    <w:p>
      <w:pPr>
        <w:spacing w:beforeLines="100" w:afterLines="100"/>
        <w:jc w:val="center"/>
        <w:rPr>
          <w:rFonts w:ascii="Times New Roman" w:hAnsi="Times New Roman" w:cs="Times New Roman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ascii="Times New Roman" w:hAnsi="Times New Roman" w:eastAsia="黑体" w:cs="Times New Roman"/>
          <w:spacing w:val="86"/>
          <w:kern w:val="0"/>
          <w:sz w:val="48"/>
          <w:szCs w:val="44"/>
        </w:rPr>
      </w:pPr>
      <w:r>
        <w:rPr>
          <w:rFonts w:ascii="Times New Roman" w:hAnsi="Times New Roman" w:eastAsia="黑体" w:cs="Times New Roman"/>
          <w:spacing w:val="86"/>
          <w:kern w:val="0"/>
          <w:sz w:val="48"/>
          <w:szCs w:val="44"/>
          <w:fitText w:val="4400" w:id="0"/>
        </w:rPr>
        <w:t>船湾镇人民政</w:t>
      </w:r>
      <w:r>
        <w:rPr>
          <w:rFonts w:ascii="Times New Roman" w:hAnsi="Times New Roman" w:eastAsia="黑体" w:cs="Times New Roman"/>
          <w:spacing w:val="4"/>
          <w:kern w:val="0"/>
          <w:sz w:val="48"/>
          <w:szCs w:val="44"/>
          <w:fitText w:val="4400" w:id="0"/>
        </w:rPr>
        <w:t>府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kern w:val="0"/>
          <w:sz w:val="36"/>
          <w:szCs w:val="30"/>
        </w:rPr>
      </w:pP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1"/>
        </w:rPr>
        <w:t>二〇一七年四</w:t>
      </w:r>
      <w:r>
        <w:rPr>
          <w:rFonts w:ascii="Times New Roman" w:hAnsi="Times New Roman" w:eastAsia="黑体" w:cs="Times New Roman"/>
          <w:spacing w:val="-1"/>
          <w:kern w:val="0"/>
          <w:sz w:val="48"/>
          <w:szCs w:val="44"/>
          <w:fitText w:val="4402" w:id="1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  <w:sectPr>
          <w:footerReference r:id="rId3" w:type="default"/>
          <w:type w:val="continuous"/>
          <w:pgSz w:w="23814" w:h="16839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目录</w:t>
      </w:r>
    </w:p>
    <w:p>
      <w:pPr>
        <w:pStyle w:val="12"/>
        <w:tabs>
          <w:tab w:val="right" w:leader="dot" w:pos="10244"/>
        </w:tabs>
        <w:rPr>
          <w:rFonts w:cs="Times New Roman" w:eastAsiaTheme="minorEastAsia"/>
          <w:sz w:val="21"/>
        </w:rPr>
      </w:pPr>
      <w:r>
        <w:rPr>
          <w:rFonts w:cs="Times New Roman"/>
          <w:kern w:val="0"/>
          <w:sz w:val="32"/>
          <w:szCs w:val="32"/>
        </w:rPr>
        <w:fldChar w:fldCharType="begin"/>
      </w:r>
      <w:r>
        <w:rPr>
          <w:rFonts w:cs="Times New Roman"/>
          <w:kern w:val="0"/>
          <w:sz w:val="32"/>
          <w:szCs w:val="32"/>
        </w:rPr>
        <w:instrText xml:space="preserve"> TOC \o "1-2" \h \z \u </w:instrText>
      </w:r>
      <w:r>
        <w:rPr>
          <w:rFonts w:cs="Times New Roman"/>
          <w:kern w:val="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"_Toc485840846" </w:instrText>
      </w:r>
      <w:r>
        <w:fldChar w:fldCharType="separate"/>
      </w:r>
      <w:r>
        <w:rPr>
          <w:rStyle w:val="18"/>
          <w:rFonts w:cs="Times New Roman"/>
          <w:kern w:val="0"/>
        </w:rPr>
        <w:t>一、基本情况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_Toc485840846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"_Toc485840847" </w:instrText>
      </w:r>
      <w:r>
        <w:fldChar w:fldCharType="separate"/>
      </w:r>
      <w:r>
        <w:rPr>
          <w:rStyle w:val="18"/>
        </w:rPr>
        <w:t>（一）行政区划调整</w:t>
      </w:r>
      <w:r>
        <w:tab/>
      </w:r>
      <w:r>
        <w:fldChar w:fldCharType="begin"/>
      </w:r>
      <w:r>
        <w:instrText xml:space="preserve"> PAGEREF _Toc485840847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"_Toc485840848" </w:instrText>
      </w:r>
      <w:r>
        <w:fldChar w:fldCharType="separate"/>
      </w:r>
      <w:r>
        <w:rPr>
          <w:rStyle w:val="18"/>
        </w:rPr>
        <w:t>（二）地理区位</w:t>
      </w:r>
      <w:r>
        <w:tab/>
      </w:r>
      <w:r>
        <w:fldChar w:fldCharType="begin"/>
      </w:r>
      <w:r>
        <w:instrText xml:space="preserve"> PAGEREF _Toc485840848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"_Toc485840849" </w:instrText>
      </w:r>
      <w:r>
        <w:fldChar w:fldCharType="separate"/>
      </w:r>
      <w:r>
        <w:rPr>
          <w:rStyle w:val="18"/>
        </w:rPr>
        <w:t>（三）经济发展</w:t>
      </w:r>
      <w:r>
        <w:tab/>
      </w:r>
      <w:r>
        <w:fldChar w:fldCharType="begin"/>
      </w:r>
      <w:r>
        <w:instrText xml:space="preserve"> PAGEREF _Toc485840849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"_Toc485840850" </w:instrText>
      </w:r>
      <w:r>
        <w:fldChar w:fldCharType="separate"/>
      </w:r>
      <w:r>
        <w:rPr>
          <w:rStyle w:val="18"/>
        </w:rPr>
        <w:t>（四）土地利用现状</w:t>
      </w:r>
      <w:r>
        <w:tab/>
      </w:r>
      <w:r>
        <w:fldChar w:fldCharType="begin"/>
      </w:r>
      <w:r>
        <w:instrText xml:space="preserve"> PAGEREF _Toc485840850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"_Toc485840851" </w:instrText>
      </w:r>
      <w:r>
        <w:fldChar w:fldCharType="separate"/>
      </w:r>
      <w:r>
        <w:rPr>
          <w:rStyle w:val="18"/>
          <w:rFonts w:cs="Times New Roman"/>
          <w:kern w:val="0"/>
        </w:rPr>
        <w:t>二、规划修改期限与范围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_Toc485840851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1024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"_Toc485840852" </w:instrText>
      </w:r>
      <w:r>
        <w:fldChar w:fldCharType="separate"/>
      </w:r>
      <w:r>
        <w:rPr>
          <w:rStyle w:val="18"/>
          <w:rFonts w:cs="Times New Roman"/>
          <w:kern w:val="0"/>
        </w:rPr>
        <w:t>三、土地利用规划目标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_Toc485840852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1024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"_Toc485840853" </w:instrText>
      </w:r>
      <w:r>
        <w:fldChar w:fldCharType="separate"/>
      </w:r>
      <w:r>
        <w:rPr>
          <w:rStyle w:val="18"/>
          <w:rFonts w:cs="Times New Roman"/>
          <w:kern w:val="0"/>
        </w:rPr>
        <w:t>四、永久基本农田划定情况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_Toc485840853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"_Toc485840854" </w:instrText>
      </w:r>
      <w:r>
        <w:fldChar w:fldCharType="separate"/>
      </w:r>
      <w:r>
        <w:rPr>
          <w:rStyle w:val="18"/>
        </w:rPr>
        <w:t>（一）调出情况</w:t>
      </w:r>
      <w:r>
        <w:tab/>
      </w:r>
      <w:r>
        <w:fldChar w:fldCharType="begin"/>
      </w:r>
      <w:r>
        <w:instrText xml:space="preserve"> PAGEREF _Toc485840854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"_Toc485840855" </w:instrText>
      </w:r>
      <w:r>
        <w:fldChar w:fldCharType="separate"/>
      </w:r>
      <w:r>
        <w:rPr>
          <w:rStyle w:val="18"/>
        </w:rPr>
        <w:t>（二）补划情况</w:t>
      </w:r>
      <w:r>
        <w:tab/>
      </w:r>
      <w:r>
        <w:fldChar w:fldCharType="begin"/>
      </w:r>
      <w:r>
        <w:instrText xml:space="preserve"> PAGEREF _Toc485840855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"_Toc485840856" </w:instrText>
      </w:r>
      <w:r>
        <w:fldChar w:fldCharType="separate"/>
      </w:r>
      <w:r>
        <w:rPr>
          <w:rStyle w:val="18"/>
          <w:rFonts w:cs="Times New Roman"/>
          <w:kern w:val="0"/>
        </w:rPr>
        <w:t>五、建设用地规模与布局调整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_Toc485840856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2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"_Toc485840857" </w:instrText>
      </w:r>
      <w:r>
        <w:fldChar w:fldCharType="separate"/>
      </w:r>
      <w:r>
        <w:rPr>
          <w:rStyle w:val="18"/>
        </w:rPr>
        <w:t>（一）城镇用地</w:t>
      </w:r>
      <w:r>
        <w:tab/>
      </w:r>
      <w:r>
        <w:fldChar w:fldCharType="begin"/>
      </w:r>
      <w:r>
        <w:instrText xml:space="preserve"> PAGEREF _Toc485840857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"_Toc485840858" </w:instrText>
      </w:r>
      <w:r>
        <w:fldChar w:fldCharType="separate"/>
      </w:r>
      <w:r>
        <w:rPr>
          <w:rStyle w:val="18"/>
        </w:rPr>
        <w:t>（二）农村居民点用地</w:t>
      </w:r>
      <w:r>
        <w:tab/>
      </w:r>
      <w:r>
        <w:fldChar w:fldCharType="begin"/>
      </w:r>
      <w:r>
        <w:instrText xml:space="preserve"> PAGEREF _Toc485840858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"_Toc485840859" </w:instrText>
      </w:r>
      <w:r>
        <w:fldChar w:fldCharType="separate"/>
      </w:r>
      <w:r>
        <w:rPr>
          <w:rStyle w:val="18"/>
        </w:rPr>
        <w:t>（三）采矿及其他独立建设用地</w:t>
      </w:r>
      <w:r>
        <w:tab/>
      </w:r>
      <w:r>
        <w:fldChar w:fldCharType="begin"/>
      </w:r>
      <w:r>
        <w:instrText xml:space="preserve"> PAGEREF _Toc485840859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"_Toc485840860" </w:instrText>
      </w:r>
      <w:r>
        <w:fldChar w:fldCharType="separate"/>
      </w:r>
      <w:r>
        <w:rPr>
          <w:rStyle w:val="18"/>
        </w:rPr>
        <w:t>（四）交通水利用地</w:t>
      </w:r>
      <w:r>
        <w:tab/>
      </w:r>
      <w:r>
        <w:fldChar w:fldCharType="begin"/>
      </w:r>
      <w:r>
        <w:instrText xml:space="preserve"> PAGEREF _Toc485840860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"_Toc485840861" </w:instrText>
      </w:r>
      <w:r>
        <w:fldChar w:fldCharType="separate"/>
      </w:r>
      <w:r>
        <w:rPr>
          <w:rStyle w:val="18"/>
        </w:rPr>
        <w:t>（五）其他建设用地</w:t>
      </w:r>
      <w:r>
        <w:tab/>
      </w:r>
      <w:r>
        <w:fldChar w:fldCharType="begin"/>
      </w:r>
      <w:r>
        <w:instrText xml:space="preserve"> PAGEREF _Toc485840861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"_Toc485840862" </w:instrText>
      </w:r>
      <w:r>
        <w:fldChar w:fldCharType="separate"/>
      </w:r>
      <w:r>
        <w:rPr>
          <w:rStyle w:val="18"/>
          <w:rFonts w:cs="Times New Roman"/>
          <w:kern w:val="0"/>
        </w:rPr>
        <w:t>六、土地利用分区调整情况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_Toc485840862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3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"_Toc485840863" </w:instrText>
      </w:r>
      <w:r>
        <w:fldChar w:fldCharType="separate"/>
      </w:r>
      <w:r>
        <w:rPr>
          <w:rStyle w:val="18"/>
        </w:rPr>
        <w:t>（一）土地用途分区修改</w:t>
      </w:r>
      <w:r>
        <w:tab/>
      </w:r>
      <w:r>
        <w:fldChar w:fldCharType="begin"/>
      </w:r>
      <w:r>
        <w:instrText xml:space="preserve"> PAGEREF _Toc485840863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"_Toc485840864" </w:instrText>
      </w:r>
      <w:r>
        <w:fldChar w:fldCharType="separate"/>
      </w:r>
      <w:r>
        <w:rPr>
          <w:rStyle w:val="18"/>
        </w:rPr>
        <w:t>（二）建设用地管制分区修改</w:t>
      </w:r>
      <w:r>
        <w:tab/>
      </w:r>
      <w:r>
        <w:fldChar w:fldCharType="begin"/>
      </w:r>
      <w:r>
        <w:instrText xml:space="preserve"> PAGEREF _Toc485840864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"_Toc485840865" </w:instrText>
      </w:r>
      <w:r>
        <w:fldChar w:fldCharType="separate"/>
      </w:r>
      <w:r>
        <w:rPr>
          <w:rStyle w:val="18"/>
          <w:rFonts w:cs="Times New Roman"/>
          <w:kern w:val="0"/>
        </w:rPr>
        <w:t>附表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_Toc485840865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4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"_Toc485840866" </w:instrText>
      </w:r>
      <w:r>
        <w:fldChar w:fldCharType="separate"/>
      </w:r>
      <w:r>
        <w:rPr>
          <w:rStyle w:val="18"/>
        </w:rPr>
        <w:t>附表1  船湾镇土地利用现状表（2014年）</w:t>
      </w:r>
      <w:r>
        <w:tab/>
      </w:r>
      <w:r>
        <w:fldChar w:fldCharType="begin"/>
      </w:r>
      <w:r>
        <w:instrText xml:space="preserve"> PAGEREF _Toc485840866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"_Toc485840867" </w:instrText>
      </w:r>
      <w:r>
        <w:fldChar w:fldCharType="separate"/>
      </w:r>
      <w:r>
        <w:rPr>
          <w:rStyle w:val="18"/>
        </w:rPr>
        <w:t>附表2  船湾镇土地利用结构调整表</w:t>
      </w:r>
      <w:r>
        <w:tab/>
      </w:r>
      <w:r>
        <w:fldChar w:fldCharType="begin"/>
      </w:r>
      <w:r>
        <w:instrText xml:space="preserve"> PAGEREF _Toc485840867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"_Toc485840868" </w:instrText>
      </w:r>
      <w:r>
        <w:fldChar w:fldCharType="separate"/>
      </w:r>
      <w:r>
        <w:rPr>
          <w:rStyle w:val="18"/>
        </w:rPr>
        <w:t>附表3  船湾镇土地利用规划目标调整表</w:t>
      </w:r>
      <w:r>
        <w:tab/>
      </w:r>
      <w:r>
        <w:fldChar w:fldCharType="begin"/>
      </w:r>
      <w:r>
        <w:instrText xml:space="preserve"> PAGEREF _Toc485840868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"_Toc485840869" </w:instrText>
      </w:r>
      <w:r>
        <w:fldChar w:fldCharType="separate"/>
      </w:r>
      <w:r>
        <w:rPr>
          <w:rStyle w:val="18"/>
        </w:rPr>
        <w:t>附表4  船湾镇落实上一级土地利用规划指标情况表</w:t>
      </w:r>
      <w:r>
        <w:tab/>
      </w:r>
      <w:r>
        <w:fldChar w:fldCharType="begin"/>
      </w:r>
      <w:r>
        <w:instrText xml:space="preserve"> PAGEREF _Toc485840869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"_Toc485840870" </w:instrText>
      </w:r>
      <w:r>
        <w:fldChar w:fldCharType="separate"/>
      </w:r>
      <w:r>
        <w:rPr>
          <w:rStyle w:val="18"/>
        </w:rPr>
        <w:t>附表5  调入区域规划调整前后对比表</w:t>
      </w:r>
      <w:r>
        <w:tab/>
      </w:r>
      <w:r>
        <w:fldChar w:fldCharType="begin"/>
      </w:r>
      <w:r>
        <w:instrText xml:space="preserve"> PAGEREF _Toc485840870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"_Toc485840871" </w:instrText>
      </w:r>
      <w:r>
        <w:fldChar w:fldCharType="separate"/>
      </w:r>
      <w:r>
        <w:rPr>
          <w:rStyle w:val="18"/>
        </w:rPr>
        <w:t>附表6  调出区域规划调整前后对比表</w:t>
      </w:r>
      <w:r>
        <w:tab/>
      </w:r>
      <w:r>
        <w:fldChar w:fldCharType="begin"/>
      </w:r>
      <w:r>
        <w:instrText xml:space="preserve"> PAGEREF _Toc485840871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"_Toc485840872" </w:instrText>
      </w:r>
      <w:r>
        <w:fldChar w:fldCharType="separate"/>
      </w:r>
      <w:r>
        <w:rPr>
          <w:rStyle w:val="18"/>
        </w:rPr>
        <w:t>附表7  船湾镇耕地保有量和基本农田保护面积分解表</w:t>
      </w:r>
      <w:r>
        <w:tab/>
      </w:r>
      <w:r>
        <w:fldChar w:fldCharType="begin"/>
      </w:r>
      <w:r>
        <w:instrText xml:space="preserve"> PAGEREF _Toc485840872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"_Toc485840873" </w:instrText>
      </w:r>
      <w:r>
        <w:fldChar w:fldCharType="separate"/>
      </w:r>
      <w:r>
        <w:rPr>
          <w:rStyle w:val="18"/>
        </w:rPr>
        <w:t>附表8  船湾镇土地用途分区修改情况表</w:t>
      </w:r>
      <w:r>
        <w:tab/>
      </w:r>
      <w:r>
        <w:fldChar w:fldCharType="begin"/>
      </w:r>
      <w:r>
        <w:instrText xml:space="preserve"> PAGEREF _Toc485840873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"_Toc485840874" </w:instrText>
      </w:r>
      <w:r>
        <w:fldChar w:fldCharType="separate"/>
      </w:r>
      <w:r>
        <w:rPr>
          <w:rStyle w:val="18"/>
        </w:rPr>
        <w:t>附表9  船湾镇建设用地空间管制分区修改情况表</w:t>
      </w:r>
      <w:r>
        <w:tab/>
      </w:r>
      <w:r>
        <w:fldChar w:fldCharType="begin"/>
      </w:r>
      <w:r>
        <w:instrText xml:space="preserve"> PAGEREF _Toc485840874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"_Toc485840875" </w:instrText>
      </w:r>
      <w:r>
        <w:fldChar w:fldCharType="separate"/>
      </w:r>
      <w:r>
        <w:rPr>
          <w:rStyle w:val="18"/>
        </w:rPr>
        <w:t>附表10  船湾镇2016-2020年重点建设用地项目规划表</w:t>
      </w:r>
      <w:r>
        <w:tab/>
      </w:r>
      <w:r>
        <w:fldChar w:fldCharType="begin"/>
      </w:r>
      <w:r>
        <w:instrText xml:space="preserve"> PAGEREF _Toc485840875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"_Toc485840876" </w:instrText>
      </w:r>
      <w:r>
        <w:fldChar w:fldCharType="separate"/>
      </w:r>
      <w:r>
        <w:rPr>
          <w:rStyle w:val="18"/>
        </w:rPr>
        <w:t>附表11  船湾镇土地用途分区面积统计表</w:t>
      </w:r>
      <w:r>
        <w:tab/>
      </w:r>
      <w:r>
        <w:fldChar w:fldCharType="begin"/>
      </w:r>
      <w:r>
        <w:instrText xml:space="preserve"> PAGEREF _Toc485840876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"_Toc485840877" </w:instrText>
      </w:r>
      <w:r>
        <w:fldChar w:fldCharType="separate"/>
      </w:r>
      <w:r>
        <w:rPr>
          <w:rStyle w:val="18"/>
        </w:rPr>
        <w:t>附表12  船湾镇2006-2020年地类结构平衡表</w:t>
      </w:r>
      <w:r>
        <w:tab/>
      </w:r>
      <w:r>
        <w:fldChar w:fldCharType="begin"/>
      </w:r>
      <w:r>
        <w:instrText xml:space="preserve"> PAGEREF _Toc485840877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fldChar w:fldCharType="end"/>
      </w:r>
    </w:p>
    <w:p>
      <w:pPr>
        <w:widowControl/>
        <w:spacing w:line="360" w:lineRule="auto"/>
        <w:ind w:left="420" w:leftChars="200"/>
        <w:jc w:val="left"/>
        <w:rPr>
          <w:rFonts w:ascii="Times New Roman" w:hAnsi="Times New Roman" w:eastAsia="黑体" w:cs="Times New Roman"/>
          <w:kern w:val="0"/>
          <w:sz w:val="22"/>
          <w:szCs w:val="24"/>
        </w:rPr>
        <w:sectPr>
          <w:footerReference r:id="rId4" w:type="default"/>
          <w:pgSz w:w="23814" w:h="16839" w:orient="landscape"/>
          <w:pgMar w:top="1800" w:right="1440" w:bottom="1800" w:left="1440" w:header="851" w:footer="992" w:gutter="0"/>
          <w:pgNumType w:fmt="upperRoman" w:start="1"/>
          <w:cols w:space="425" w:num="2"/>
          <w:docGrid w:type="lines" w:linePitch="312" w:charSpace="0"/>
        </w:sectPr>
      </w:pPr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Toc469235313"/>
      <w:bookmarkStart w:id="4" w:name="_Toc485840846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</w:p>
    <w:p>
      <w:pPr>
        <w:spacing w:line="360" w:lineRule="auto"/>
        <w:jc w:val="left"/>
        <w:outlineLvl w:val="1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bookmarkStart w:id="5" w:name="_Toc485840847"/>
      <w:r>
        <w:rPr>
          <w:rFonts w:ascii="Times New Roman" w:hAnsi="Times New Roman" w:eastAsia="黑体" w:cs="Times New Roman"/>
          <w:sz w:val="30"/>
          <w:szCs w:val="30"/>
        </w:rPr>
        <w:t>（一）行政区划调整</w:t>
      </w:r>
      <w:bookmarkEnd w:id="5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船湾镇建制村合并调整的批复》（醴政函〔2016〕52号），船湾镇行政区域作出如下调整：清水乡与船湾镇成建制合并设立船湾镇，船湾镇由原来的17个村，2个居委会合并调整为10个村，2个居委会，总人口5.34万人，镇人民政府驻金子坪（原船湾镇人民政府驻地）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" w:name="_Toc485840848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6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船湾镇位于湖南省醴陵市的南大门，毗邻攸县，北接泗汾镇，106国道、醴茶铁路贯穿南北。地处罗霄山脉北段，属丘陵地势，溪河密布，以渌水、纯水较大，均汇入湘江。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7" w:name="_Toc485840849"/>
      <w:r>
        <w:rPr>
          <w:rFonts w:ascii="Times New Roman" w:hAnsi="Times New Roman" w:eastAsia="黑体" w:cs="Times New Roman"/>
          <w:sz w:val="30"/>
          <w:szCs w:val="30"/>
        </w:rPr>
        <w:t>（三）发展</w:t>
      </w:r>
      <w:bookmarkEnd w:id="7"/>
      <w:r>
        <w:rPr>
          <w:rFonts w:ascii="Times New Roman" w:hAnsi="Times New Roman" w:eastAsia="黑体" w:cs="Times New Roman"/>
          <w:sz w:val="30"/>
          <w:szCs w:val="30"/>
        </w:rPr>
        <w:t>定位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《醴陵市城市总体规划（2010-2030）》中市域城镇体系规划，船湾镇作为东部城镇密集发展带的重要乡镇，是小城镇促进发展区的核心乡镇。船湾镇以服装为支柱产业，醴陵船湾职业服饰产业园座落于此，是株洲市打造千亿级服饰产业集群重要园区之一，承载集</w:t>
      </w:r>
      <w:r>
        <w:rPr>
          <w:rFonts w:ascii="Times New Roman" w:hAnsi="Times New Roman" w:eastAsia="仿宋_GB2312" w:cs="Times New Roman"/>
          <w:sz w:val="28"/>
          <w:szCs w:val="28"/>
        </w:rPr>
        <w:t>职业服装研发设计、生产加工、辅料供应、展示销售等于一体的重要功能，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被评为“中国职业服装名镇”。船湾镇农业资源丰富，主产稻谷、兼产甘薯、茶油。矿藏有铅、锌、钨、金、煤和高岭土等。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8" w:name="_Toc469235315"/>
      <w:bookmarkStart w:id="9" w:name="_Toc485840850"/>
      <w:r>
        <w:rPr>
          <w:rFonts w:ascii="Times New Roman" w:hAnsi="Times New Roman" w:eastAsia="黑体" w:cs="Times New Roman"/>
          <w:sz w:val="30"/>
          <w:szCs w:val="30"/>
        </w:rPr>
        <w:t>（四）土地利用现状</w:t>
      </w:r>
      <w:bookmarkEnd w:id="8"/>
      <w:bookmarkEnd w:id="9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2014年，船湾镇土地总面积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12056.97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结构表!R10C6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10468.83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结构表!R10C7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86.83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结构表!R18C6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1221.84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结构表!R18C7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10.13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结构表!R21C6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366.30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结构表!R21C7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3.04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0" w:name="_Toc485840851"/>
      <w:bookmarkStart w:id="11" w:name="_Toc469235316"/>
      <w:bookmarkStart w:id="12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0"/>
      <w:bookmarkEnd w:id="11"/>
      <w:bookmarkEnd w:id="12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规划范围为船湾镇区域内的所有土地，土地总面积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结构表!R4C8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12056.97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3" w:name="_Toc469235317"/>
      <w:bookmarkStart w:id="14" w:name="_Toc485840852"/>
      <w:bookmarkStart w:id="15" w:name="_Toc233731124"/>
      <w:bookmarkStart w:id="16" w:name="_Toc233731296"/>
      <w:bookmarkStart w:id="17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13"/>
      <w:bookmarkEnd w:id="14"/>
    </w:p>
    <w:bookmarkEnd w:id="15"/>
    <w:bookmarkEnd w:id="16"/>
    <w:bookmarkEnd w:id="17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4007.50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3535.00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202.06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1177.23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1063.47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167.94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146.50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135.71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D:\\醴陵调整完善\\表格(净2013)\\乡镇表格\\2船湾镇\\乡镇规划附表.xlsx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52.36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8" w:name="_Toc469235327"/>
      <w:bookmarkStart w:id="19" w:name="_Toc485840853"/>
      <w:bookmarkStart w:id="20" w:name="_Toc469235320"/>
      <w:bookmarkStart w:id="21" w:name="_Toc229458166"/>
      <w:bookmarkStart w:id="22" w:name="_Toc204342104"/>
      <w:bookmarkStart w:id="23" w:name="_Toc145225166"/>
      <w:r>
        <w:rPr>
          <w:rFonts w:ascii="Times New Roman" w:hAnsi="Times New Roman" w:eastAsia="黑体" w:cs="Times New Roman"/>
          <w:kern w:val="0"/>
          <w:sz w:val="32"/>
          <w:szCs w:val="32"/>
        </w:rPr>
        <w:t>四、</w:t>
      </w:r>
      <w:bookmarkEnd w:id="18"/>
      <w:r>
        <w:rPr>
          <w:rFonts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19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4" w:name="_Toc485840854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24"/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耕基!R12C7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70.95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耕基!R12C5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11.06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公顷，分布在杨木档村、东山村，同时调出质量较差基本农田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耕基!R12C6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59.89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公顷，全镇各村均有涉及。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5" w:name="_Toc485840855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25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耕基!R12C4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64.76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公顷，其中因规划新增建设用地调出补划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耕基!R12C2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17.57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公顷，调入优质耕地补划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耕基!R12C3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47.19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公顷，主要分布在乐家居委会、四方居委会。</w:t>
      </w:r>
    </w:p>
    <w:p>
      <w:pPr>
        <w:tabs>
          <w:tab w:val="left" w:pos="17065"/>
        </w:tabs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划定后，船湾镇永久基本农田面积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耕基!R12C9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3535.16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公顷（较规划修改前减少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耕基!R12C8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6.19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公顷），落实了基本农田保护任务，全镇各村均有布局。</w:t>
      </w:r>
    </w:p>
    <w:p>
      <w:pPr>
        <w:tabs>
          <w:tab w:val="left" w:pos="17065"/>
        </w:tabs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表1船湾镇基本农田布局调整情况表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10"/>
        <w:gridCol w:w="1210"/>
        <w:gridCol w:w="1210"/>
        <w:gridCol w:w="1210"/>
        <w:gridCol w:w="1210"/>
        <w:gridCol w:w="1210"/>
        <w:gridCol w:w="1003"/>
        <w:gridCol w:w="10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vMerge w:val="restart"/>
            <w:tcBorders>
              <w:top w:val="double" w:color="auto" w:sz="6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630" w:type="dxa"/>
            <w:gridSpan w:val="3"/>
            <w:tcBorders>
              <w:top w:val="double" w:color="auto" w:sz="6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630" w:type="dxa"/>
            <w:gridSpan w:val="3"/>
            <w:tcBorders>
              <w:top w:val="double" w:color="auto" w:sz="6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03" w:type="dxa"/>
            <w:vMerge w:val="restart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55" w:type="dxa"/>
            <w:vMerge w:val="restart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5" w:type="dxa"/>
            <w:vMerge w:val="continue"/>
            <w:tcBorders>
              <w:top w:val="double" w:color="auto" w:sz="6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质量较差基本农田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03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3541.35 </w:t>
            </w:r>
          </w:p>
        </w:tc>
        <w:tc>
          <w:tcPr>
            <w:tcW w:w="1210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47.19 </w:t>
            </w:r>
          </w:p>
        </w:tc>
        <w:tc>
          <w:tcPr>
            <w:tcW w:w="1210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1210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11.06 </w:t>
            </w:r>
          </w:p>
        </w:tc>
        <w:tc>
          <w:tcPr>
            <w:tcW w:w="1210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59.89 </w:t>
            </w:r>
          </w:p>
        </w:tc>
        <w:tc>
          <w:tcPr>
            <w:tcW w:w="1210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70.95 </w:t>
            </w:r>
          </w:p>
        </w:tc>
        <w:tc>
          <w:tcPr>
            <w:tcW w:w="1003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-6.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 </w:t>
            </w:r>
          </w:p>
        </w:tc>
        <w:tc>
          <w:tcPr>
            <w:tcW w:w="105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3535.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 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6" w:name="_Toc485840856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20"/>
      <w:bookmarkEnd w:id="26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7" w:name="_Toc485840857"/>
      <w:bookmarkStart w:id="28" w:name="_Toc469235321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27"/>
      <w:bookmarkEnd w:id="28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船湾镇位于醴陵市的南端，交通便利，106国道、醴茶铁路贯穿南北。船湾镇以服装产业为支撑，形成了远近闻名“服装城”，是“中国职业服装名镇”。船湾标志服产业已成为醴陵继陶瓷、花炮之后第三张亮丽名片。2012年，株洲市提出打造千亿级服饰产业集群，并提出了“一城、一中心、一基地、四园区”的发展思路，其中四园区之一的醴陵船湾职业服饰产业园选址醴陵市船湾镇，总投资5亿元，建成集职业服装研发设计、生产加工、辅料供应、展示销售等于一体的职业装产业园区。</w:t>
      </w:r>
    </w:p>
    <w:p>
      <w:pPr>
        <w:pStyle w:val="82"/>
        <w:ind w:firstLine="562"/>
        <w:rPr>
          <w:szCs w:val="28"/>
        </w:rPr>
      </w:pPr>
      <w:r>
        <w:rPr>
          <w:b/>
          <w:szCs w:val="28"/>
        </w:rPr>
        <w:t>增加</w:t>
      </w:r>
      <w:r>
        <w:rPr>
          <w:szCs w:val="28"/>
        </w:rPr>
        <w:t>：规划修改因调入增加城镇用地</w:t>
      </w:r>
      <w:r>
        <w:rPr>
          <w:szCs w:val="28"/>
        </w:rPr>
        <w:fldChar w:fldCharType="begin"/>
      </w:r>
      <w:r>
        <w:rPr>
          <w:szCs w:val="28"/>
        </w:rPr>
        <w:instrText xml:space="preserve"> LINK Excel.Sheet.8</w:instrText>
      </w:r>
      <w:r>
        <w:rPr>
          <w:rFonts w:hint="eastAsia"/>
          <w:szCs w:val="28"/>
        </w:rPr>
        <w:instrText xml:space="preserve"> D:\\醴陵调整完善\\表格(净2013)\\乡镇表格\\0醴陵市\\说明表格-全市.xls 城!R10C6 </w:instrText>
      </w:r>
      <w:r>
        <w:rPr>
          <w:szCs w:val="28"/>
        </w:rPr>
        <w:instrText xml:space="preserve">\a \t  \* MERGEFORMAT </w:instrText>
      </w:r>
      <w:r>
        <w:rPr>
          <w:szCs w:val="28"/>
        </w:rPr>
        <w:fldChar w:fldCharType="separate"/>
      </w:r>
      <w:r>
        <w:rPr>
          <w:rFonts w:hint="eastAsia"/>
          <w:szCs w:val="28"/>
        </w:rPr>
        <w:t xml:space="preserve">56.93 </w:t>
      </w:r>
      <w:r>
        <w:rPr>
          <w:szCs w:val="28"/>
        </w:rPr>
        <w:fldChar w:fldCharType="end"/>
      </w:r>
      <w:r>
        <w:rPr>
          <w:szCs w:val="28"/>
        </w:rPr>
        <w:t>公顷，用于保障醴陵船湾职业服饰产业园和船湾集镇的发展。</w:t>
      </w:r>
    </w:p>
    <w:p>
      <w:pPr>
        <w:pStyle w:val="82"/>
        <w:ind w:firstLine="562"/>
        <w:rPr>
          <w:szCs w:val="28"/>
        </w:rPr>
      </w:pPr>
      <w:r>
        <w:rPr>
          <w:b/>
        </w:rPr>
        <w:t>减少：</w:t>
      </w:r>
      <w:r>
        <w:rPr>
          <w:szCs w:val="28"/>
        </w:rPr>
        <w:t>规划修改因调出减少城镇用地</w:t>
      </w:r>
      <w:r>
        <w:rPr>
          <w:szCs w:val="28"/>
        </w:rPr>
        <w:fldChar w:fldCharType="begin"/>
      </w:r>
      <w:r>
        <w:rPr>
          <w:szCs w:val="28"/>
        </w:rPr>
        <w:instrText xml:space="preserve"> LINK Excel.Sheet.8</w:instrText>
      </w:r>
      <w:r>
        <w:rPr>
          <w:rFonts w:hint="eastAsia"/>
          <w:szCs w:val="28"/>
        </w:rPr>
        <w:instrText xml:space="preserve"> D:\\醴陵调整完善\\表格(净2013)\\乡镇表格\\0醴陵市\\说明表格-全市.xls 城!R10C11 </w:instrText>
      </w:r>
      <w:r>
        <w:rPr>
          <w:szCs w:val="28"/>
        </w:rPr>
        <w:instrText xml:space="preserve">\a \t  \* MERGEFORMAT </w:instrText>
      </w:r>
      <w:r>
        <w:rPr>
          <w:szCs w:val="28"/>
        </w:rPr>
        <w:fldChar w:fldCharType="separate"/>
      </w:r>
      <w:r>
        <w:rPr>
          <w:rFonts w:hint="eastAsia"/>
          <w:szCs w:val="28"/>
        </w:rPr>
        <w:t xml:space="preserve">18.93 </w:t>
      </w:r>
      <w:r>
        <w:rPr>
          <w:szCs w:val="28"/>
        </w:rPr>
        <w:fldChar w:fldCharType="end"/>
      </w:r>
      <w:r>
        <w:rPr>
          <w:szCs w:val="28"/>
        </w:rPr>
        <w:t>公顷，主要为集镇周边现状优质耕地区域。</w:t>
      </w:r>
    </w:p>
    <w:p>
      <w:pPr>
        <w:pStyle w:val="82"/>
        <w:tabs>
          <w:tab w:val="left" w:pos="13084"/>
        </w:tabs>
        <w:ind w:firstLine="560"/>
      </w:pPr>
      <w:r>
        <w:t>修改后，城镇用地规模由</w:t>
      </w:r>
      <w:r>
        <w:fldChar w:fldCharType="begin"/>
      </w:r>
      <w:r>
        <w:instrText xml:space="preserve"> LINK Excel.Sheet.8</w:instrText>
      </w:r>
      <w:r>
        <w:rPr>
          <w:rFonts w:hint="eastAsia"/>
        </w:rPr>
        <w:instrText xml:space="preserve"> D:\\醴陵调整完善\\表格(净2013)\\乡镇表格\\2船湾镇\\乡镇规划附表.xlsx 城!R5C1 </w:instrText>
      </w:r>
      <w:r>
        <w:instrText xml:space="preserve">\a \t  \* MERGEFORMAT </w:instrText>
      </w:r>
      <w:r>
        <w:fldChar w:fldCharType="separate"/>
      </w:r>
      <w:r>
        <w:rPr>
          <w:rFonts w:hint="eastAsia"/>
        </w:rPr>
        <w:t xml:space="preserve">100.79 </w:t>
      </w:r>
      <w:r>
        <w:fldChar w:fldCharType="end"/>
      </w:r>
      <w:r>
        <w:t>公顷调整为</w:t>
      </w:r>
      <w:r>
        <w:fldChar w:fldCharType="begin"/>
      </w:r>
      <w:r>
        <w:instrText xml:space="preserve"> LINK Excel.Sheet.8</w:instrText>
      </w:r>
      <w:r>
        <w:rPr>
          <w:rFonts w:hint="eastAsia"/>
        </w:rPr>
        <w:instrText xml:space="preserve"> D:\\醴陵调整完善\\表格(净2013)\\乡镇表格\\2船湾镇\\乡镇规划附表.xlsx 城!R5C11 </w:instrText>
      </w:r>
      <w:r>
        <w:instrText xml:space="preserve">\a \t  \* MERGEFORMAT </w:instrText>
      </w:r>
      <w:r>
        <w:fldChar w:fldCharType="separate"/>
      </w:r>
      <w:r>
        <w:rPr>
          <w:rFonts w:hint="eastAsia"/>
        </w:rPr>
        <w:t xml:space="preserve">138.79 </w:t>
      </w:r>
      <w:r>
        <w:fldChar w:fldCharType="end"/>
      </w:r>
      <w:r>
        <w:t>公顷，净增加</w:t>
      </w:r>
      <w:r>
        <w:fldChar w:fldCharType="begin"/>
      </w:r>
      <w:r>
        <w:instrText xml:space="preserve"> LINK Excel.Sheet.8</w:instrText>
      </w:r>
      <w:r>
        <w:rPr>
          <w:rFonts w:hint="eastAsia"/>
        </w:rPr>
        <w:instrText xml:space="preserve"> D:\\醴陵调整完善\\表格(净2013)\\乡镇表格\\2船湾镇\\乡镇规划附表.xlsx 城!R5C10 </w:instrText>
      </w:r>
      <w:r>
        <w:instrText xml:space="preserve">\a \t  \* MERGEFORMAT </w:instrText>
      </w:r>
      <w:r>
        <w:fldChar w:fldCharType="separate"/>
      </w:r>
      <w:r>
        <w:rPr>
          <w:rFonts w:hint="eastAsia"/>
        </w:rPr>
        <w:t xml:space="preserve">38.00 </w:t>
      </w:r>
      <w:r>
        <w:fldChar w:fldCharType="end"/>
      </w:r>
      <w:r>
        <w:t>公顷。</w:t>
      </w:r>
    </w:p>
    <w:p>
      <w:pPr>
        <w:pStyle w:val="82"/>
        <w:tabs>
          <w:tab w:val="left" w:pos="13084"/>
        </w:tabs>
        <w:ind w:firstLine="560"/>
        <w:rPr>
          <w:rFonts w:ascii="Times New Roman" w:hAnsi="Times New Roman" w:eastAsia="黑体" w:cs="Times New Roman"/>
          <w:sz w:val="30"/>
          <w:szCs w:val="30"/>
        </w:rPr>
      </w:pPr>
      <w:r>
        <w:rPr>
          <w:b/>
        </w:rPr>
        <w:pict>
          <v:shape id="Text Box 29" o:spid="_x0000_s1043" o:spt="202" type="#_x0000_t202" style="position:absolute;left:0pt;margin-left:402.4pt;margin-top:263.85pt;height:25pt;width:56.45pt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hint="eastAsia" w:ascii="黑体" w:eastAsia="黑体"/>
                      <w:sz w:val="24"/>
                    </w:rPr>
                    <w:t>G106</w:t>
                  </w:r>
                </w:p>
              </w:txbxContent>
            </v:textbox>
          </v:shape>
        </w:pic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表2船湾镇城镇用地布局调整情况表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007"/>
        <w:gridCol w:w="1937"/>
        <w:gridCol w:w="1937"/>
        <w:gridCol w:w="193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0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00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3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100.79 </w:t>
            </w:r>
          </w:p>
        </w:tc>
        <w:tc>
          <w:tcPr>
            <w:tcW w:w="200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56.93 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18.93 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38.00 </w:t>
            </w:r>
          </w:p>
        </w:tc>
        <w:tc>
          <w:tcPr>
            <w:tcW w:w="1935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138.79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9" w:name="_Toc485840858"/>
      <w:bookmarkStart w:id="30" w:name="_Toc469235322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29"/>
      <w:bookmarkEnd w:id="30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“农民集中居住、农业集中经营、农田集中耕作”的理念，结合异地扶贫搬迁安置工程及新农村建设，对船湾镇农村居民点用地布局进行调整。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：规划修改共增加农村居民点用地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农!R5C4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22.72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公顷，全部为调入增加，主要分布在四方居委会、清水江村、星桥村。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：共减少农村居民点用地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农!R5C9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14.05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公顷，其中：因调出减少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农!R5C5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6.64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公顷，因建设用地内部转换减少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农!R5C6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7.41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公顷，主要分布在四方居委会、增加滩村。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修改后，农村居民点用地规模由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D:\\醴陵调整完善\\表格(净2013)\\乡镇表格\\2船湾镇\\乡镇规划附表.xlsx 农!R5C1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886.86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D:\\醴陵调整完善\\表格(净2013)\\乡镇表格\\2船湾镇\\乡镇规划附表.xlsx 农!R5C11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895.53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公顷，净增加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D:\\醴陵调整完善\\表格(净2013)\\乡镇表格\\2船湾镇\\乡镇规划附表.xlsx 农!R5C10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8.67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表3船湾镇农村居民点用地布局调整情况表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791"/>
        <w:gridCol w:w="791"/>
        <w:gridCol w:w="731"/>
        <w:gridCol w:w="1212"/>
        <w:gridCol w:w="791"/>
        <w:gridCol w:w="1534"/>
        <w:gridCol w:w="2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7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年（修改前）</w:t>
            </w:r>
          </w:p>
        </w:tc>
        <w:tc>
          <w:tcPr>
            <w:tcW w:w="158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增加①</w:t>
            </w:r>
          </w:p>
        </w:tc>
        <w:tc>
          <w:tcPr>
            <w:tcW w:w="273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减少②</w:t>
            </w:r>
          </w:p>
        </w:tc>
        <w:tc>
          <w:tcPr>
            <w:tcW w:w="15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2236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7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调出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内部转换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5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6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886.86 </w:t>
            </w:r>
          </w:p>
        </w:tc>
        <w:tc>
          <w:tcPr>
            <w:tcW w:w="79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22.72 </w:t>
            </w:r>
          </w:p>
        </w:tc>
        <w:tc>
          <w:tcPr>
            <w:tcW w:w="79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22.72 </w:t>
            </w:r>
          </w:p>
        </w:tc>
        <w:tc>
          <w:tcPr>
            <w:tcW w:w="73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6.64 </w:t>
            </w:r>
          </w:p>
        </w:tc>
        <w:tc>
          <w:tcPr>
            <w:tcW w:w="121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7.41</w:t>
            </w:r>
          </w:p>
        </w:tc>
        <w:tc>
          <w:tcPr>
            <w:tcW w:w="79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14.88 </w:t>
            </w:r>
          </w:p>
        </w:tc>
        <w:tc>
          <w:tcPr>
            <w:tcW w:w="15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8.67 </w:t>
            </w:r>
          </w:p>
        </w:tc>
        <w:tc>
          <w:tcPr>
            <w:tcW w:w="223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895.53 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1" w:name="_Toc469235323"/>
      <w:bookmarkStart w:id="32" w:name="_Toc485840859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31"/>
      <w:bookmarkEnd w:id="32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采独!R5C4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11.44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公顷，主要分布在曾家滩村，用于船湾镇集体企业建设。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：规划修改共减少采矿及其他独立建设用地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采独!R5C9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46.33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公顷，其中：因调出减少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采独!R5C5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39.25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公顷，因土地复垦/农村居民点整理减少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采独!R5C8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公顷，主要位于狮力村、四方居委会。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采独!R5C1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64.04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采独!R5C11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29.15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采独!R5C10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34.89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表4船湾镇采矿及其他独立建设用地布局调整情况表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681"/>
        <w:gridCol w:w="681"/>
        <w:gridCol w:w="689"/>
        <w:gridCol w:w="947"/>
        <w:gridCol w:w="2121"/>
        <w:gridCol w:w="689"/>
        <w:gridCol w:w="1202"/>
        <w:gridCol w:w="16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年（修改前）</w:t>
            </w:r>
          </w:p>
        </w:tc>
        <w:tc>
          <w:tcPr>
            <w:tcW w:w="136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增加①</w:t>
            </w:r>
          </w:p>
        </w:tc>
        <w:tc>
          <w:tcPr>
            <w:tcW w:w="444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减少②</w:t>
            </w:r>
          </w:p>
        </w:tc>
        <w:tc>
          <w:tcPr>
            <w:tcW w:w="1202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65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56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调入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调出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建设占用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土地复垦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农村居民点整理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202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64.04 </w:t>
            </w:r>
          </w:p>
        </w:tc>
        <w:tc>
          <w:tcPr>
            <w:tcW w:w="68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11.44 </w:t>
            </w:r>
          </w:p>
        </w:tc>
        <w:tc>
          <w:tcPr>
            <w:tcW w:w="68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11.44 </w:t>
            </w:r>
          </w:p>
        </w:tc>
        <w:tc>
          <w:tcPr>
            <w:tcW w:w="68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39.25 </w:t>
            </w:r>
          </w:p>
        </w:tc>
        <w:tc>
          <w:tcPr>
            <w:tcW w:w="9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212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7.08 </w:t>
            </w:r>
          </w:p>
        </w:tc>
        <w:tc>
          <w:tcPr>
            <w:tcW w:w="68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46.33 </w:t>
            </w:r>
          </w:p>
        </w:tc>
        <w:tc>
          <w:tcPr>
            <w:tcW w:w="120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-34.89 </w:t>
            </w:r>
          </w:p>
        </w:tc>
        <w:tc>
          <w:tcPr>
            <w:tcW w:w="165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29.15 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3" w:name="_Toc485840860"/>
      <w:bookmarkStart w:id="34" w:name="_Toc469235324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33"/>
      <w:bookmarkEnd w:id="34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：规划修改因调入增加交通水利用地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交!R5C4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3.38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公顷，主要用于G106船湾绕镇公路建设。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：规划修改因建设用地内部转换减少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D:\\醴陵调整完善\\表格(净2013)\\乡镇表格\\2船湾镇\\乡镇规划附表.xlsx 交!R5C9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3.90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修改后，交通水利用地规模由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D:\\醴陵调整完善\\表格(净2013)\\乡镇表格\\2船湾镇\\乡镇规划附表.xlsx 交!R5C1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95.06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D:\\醴陵调整完善\\表格(净2013)\\乡镇表格\\2船湾镇\\乡镇规划附表.xlsx 交!R5C11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94.54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D:\\醴陵调整完善\\表格(净2013)\\乡镇表格\\2船湾镇\\乡镇规划附表.xlsx 交!R5C10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0.52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表5船湾镇交通水利用地布局调整情况表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91"/>
        <w:gridCol w:w="1293"/>
        <w:gridCol w:w="1290"/>
        <w:gridCol w:w="1290"/>
        <w:gridCol w:w="1290"/>
        <w:gridCol w:w="1290"/>
        <w:gridCol w:w="1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258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870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9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8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91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9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95.06 </w:t>
            </w:r>
          </w:p>
        </w:tc>
        <w:tc>
          <w:tcPr>
            <w:tcW w:w="129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3.38 </w:t>
            </w:r>
          </w:p>
        </w:tc>
        <w:tc>
          <w:tcPr>
            <w:tcW w:w="129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3.38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3.90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3.90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-0.52 </w:t>
            </w:r>
          </w:p>
        </w:tc>
        <w:tc>
          <w:tcPr>
            <w:tcW w:w="128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94.54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5" w:name="_Toc485840861"/>
      <w:bookmarkStart w:id="36" w:name="_Toc469235325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35"/>
      <w:bookmarkEnd w:id="36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增加：</w:t>
      </w:r>
      <w:r>
        <w:rPr>
          <w:rFonts w:ascii="Times New Roman" w:hAnsi="Times New Roman" w:eastAsia="仿宋_GB2312" w:cs="Times New Roman"/>
          <w:sz w:val="28"/>
          <w:szCs w:val="28"/>
        </w:rPr>
        <w:t>其他建设用地无调入增加。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减少：</w:t>
      </w:r>
      <w:r>
        <w:rPr>
          <w:rFonts w:ascii="Times New Roman" w:hAnsi="Times New Roman" w:eastAsia="仿宋_GB2312" w:cs="Times New Roman"/>
          <w:sz w:val="28"/>
          <w:szCs w:val="28"/>
        </w:rPr>
        <w:t>规划修改因建设用地内部转换减少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其!R5C6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0.52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修改后，其他建设用地规模由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其!R5C1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19.75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D:\\醴陵调整完善\\表格(净2013)\\乡镇表格\\2船湾镇\\乡镇规划附表.xlsx 其!R5C11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19.23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D:\\醴陵调整完善\\表格(净2013)\\乡镇表格\\2船湾镇\\乡镇规划附表.xlsx 其!R5C9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0.52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napToGrid w:val="0"/>
        <w:ind w:firstLine="480" w:firstLineChars="200"/>
        <w:jc w:val="center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黑体" w:cs="Times New Roman"/>
          <w:sz w:val="24"/>
          <w:szCs w:val="24"/>
        </w:rPr>
        <w:t>表6船湾镇交通水利用地布局调整情况表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4"/>
        <w:gridCol w:w="1476"/>
        <w:gridCol w:w="1474"/>
        <w:gridCol w:w="1476"/>
        <w:gridCol w:w="1474"/>
        <w:gridCol w:w="14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75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295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95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47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47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75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19.75 </w:t>
            </w:r>
          </w:p>
        </w:tc>
        <w:tc>
          <w:tcPr>
            <w:tcW w:w="14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0.52 </w:t>
            </w:r>
          </w:p>
        </w:tc>
        <w:tc>
          <w:tcPr>
            <w:tcW w:w="14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0.52 </w:t>
            </w:r>
          </w:p>
        </w:tc>
        <w:tc>
          <w:tcPr>
            <w:tcW w:w="14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-0.52 </w:t>
            </w:r>
          </w:p>
        </w:tc>
        <w:tc>
          <w:tcPr>
            <w:tcW w:w="147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19.23 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7" w:name="_Toc469235329"/>
      <w:bookmarkStart w:id="38" w:name="_Toc485840862"/>
      <w:r>
        <w:rPr>
          <w:rFonts w:ascii="Times New Roman" w:hAnsi="Times New Roman" w:eastAsia="黑体" w:cs="Times New Roman"/>
          <w:kern w:val="0"/>
          <w:sz w:val="32"/>
          <w:szCs w:val="32"/>
        </w:rPr>
        <w:t>六、</w:t>
      </w:r>
      <w:bookmarkEnd w:id="37"/>
      <w:r>
        <w:rPr>
          <w:rFonts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3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9" w:name="_Toc469235330"/>
      <w:bookmarkStart w:id="40" w:name="_Toc485840863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39"/>
      <w:bookmarkEnd w:id="40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修改后，将船湾镇土地划分为六个用途区，包括：基本农田保护区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D:\\醴陵调整完善\\表格(净2013)\\乡镇表格\\2船湾镇\\乡镇规划附表.xlsx 用途区!R3C3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3923.85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公顷、一般农地区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D:\\醴陵调整完善\\表格(净2013)\\乡镇表格\\2船湾镇\\乡镇规划附表.xlsx 用途区!R4C3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779.70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公顷、城镇建设用地区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D:\\醴陵调整完善\\表格(净2013)\\乡镇表格\\2船湾镇\\乡镇规划附表.xlsx 用途区!R5C3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146.85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公顷、村镇建设用地区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D:\\醴陵调整完善\\表格(净2013)\\乡镇表格\\2船湾镇\\乡镇规划附表.xlsx 用途区!R6C3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933.76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公顷、独立工矿区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D:\\醴陵调整完善\\表格(净2013)\\乡镇表格\\2船湾镇\\乡镇规划附表.xlsx 用途区!R7C3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27.05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公顷和林业用地区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D:\\醴陵调整完善\\表格(净2013)\\乡镇表格\\2船湾镇\\乡镇规划附表.xlsx 用途区!R10C3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5322.38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</w:t>
      </w:r>
    </w:p>
    <w:bookmarkEnd w:id="21"/>
    <w:bookmarkEnd w:id="22"/>
    <w:bookmarkEnd w:id="23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1" w:name="_Toc485840864"/>
      <w:bookmarkStart w:id="42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41"/>
      <w:bookmarkEnd w:id="42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为加强对城乡建设用地的空间管制，本次规划修改，根据土地管理需要，因地制宜地将规划范围内的土地划分为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三</w:t>
      </w:r>
      <w:r>
        <w:rPr>
          <w:rFonts w:ascii="Times New Roman" w:hAnsi="Times New Roman" w:eastAsia="仿宋_GB2312" w:cs="Times New Roman"/>
          <w:sz w:val="28"/>
          <w:szCs w:val="32"/>
        </w:rPr>
        <w:t>个区，分别为允许建设区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D:\\醴陵调整完善\\表格(净2013)\\乡镇表格\\2船湾镇\\乡镇规划附表.xlsx 管制区!R3C3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1063.47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、有条件建设区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D:\\醴陵调整完善\\表格(净2013)\\乡镇表格\\2船湾镇\\乡镇规划附表.xlsx 管制区!R4C3 \a \t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15.95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32"/>
        </w:rPr>
        <w:t>公顷</w:t>
      </w:r>
      <w:r>
        <w:rPr>
          <w:rFonts w:ascii="Times New Roman" w:hAnsi="Times New Roman" w:eastAsia="仿宋_GB2312" w:cs="Times New Roman"/>
          <w:sz w:val="28"/>
          <w:szCs w:val="32"/>
        </w:rPr>
        <w:t>和限制建设区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D:\\醴陵调整完善\\表格(净2013)\\乡镇表格\\2船湾镇\\乡镇规划附表.xlsx 管制区!R5C3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10977.55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公顷。其中：允许建设区较修改前增加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D:\\醴陵调整完善\\表格(净2013)\\乡镇表格\\2船湾镇\\乡镇规划附表.xlsx 管制区!R3C4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11.78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有条件建设区较修改前增加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D:\\醴陵调整完善\\表格(净2013)\\乡镇表格\\2船湾镇\\乡镇规划附表.xlsx 管制区!R4C3 \a \t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15.95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32"/>
        </w:rPr>
        <w:t>公顷，</w:t>
      </w:r>
      <w:r>
        <w:rPr>
          <w:rFonts w:ascii="Times New Roman" w:hAnsi="Times New Roman" w:eastAsia="仿宋_GB2312" w:cs="Times New Roman"/>
          <w:sz w:val="28"/>
          <w:szCs w:val="32"/>
        </w:rPr>
        <w:t>限制建设区较修改前减少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D:\\醴陵调整完善\\表格(净2013)\\乡镇表格\\2船湾镇\\乡镇规划附表.xlsx 管制区!R5C4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27.73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</w:t>
      </w: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43" w:name="_Toc485840865"/>
      <w:bookmarkStart w:id="44" w:name="_Toc469235332"/>
      <w:bookmarkStart w:id="64" w:name="_GoBack"/>
      <w:bookmarkEnd w:id="64"/>
      <w:r>
        <w:rPr>
          <w:rFonts w:ascii="Times New Roman" w:hAnsi="Times New Roman" w:eastAsia="黑体" w:cs="Times New Roman"/>
          <w:kern w:val="0"/>
          <w:sz w:val="32"/>
          <w:szCs w:val="32"/>
        </w:rPr>
        <w:br w:type="column"/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附</w:t>
      </w:r>
      <w:bookmarkEnd w:id="43"/>
      <w:bookmarkEnd w:id="44"/>
      <w:r>
        <w:rPr>
          <w:rFonts w:ascii="Times New Roman" w:hAnsi="Times New Roman" w:eastAsia="黑体" w:cs="Times New Roman"/>
          <w:kern w:val="0"/>
          <w:sz w:val="32"/>
          <w:szCs w:val="32"/>
        </w:rPr>
        <w:t>表</w:t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5" w:name="_Toc485840866"/>
      <w:r>
        <w:rPr>
          <w:rFonts w:ascii="Times New Roman" w:hAnsi="Times New Roman" w:eastAsia="黑体" w:cs="Times New Roman"/>
          <w:sz w:val="24"/>
          <w:szCs w:val="24"/>
        </w:rPr>
        <w:t>附表1  船湾镇土地利用现状表（2014年）</w:t>
      </w:r>
      <w:bookmarkEnd w:id="45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单位：公顷、%</w:t>
      </w:r>
    </w:p>
    <w:tbl>
      <w:tblPr>
        <w:tblStyle w:val="21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499"/>
        <w:gridCol w:w="2599"/>
        <w:gridCol w:w="2444"/>
        <w:gridCol w:w="213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42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4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12056.97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4043.18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33.53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91.03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5289.41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43.87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1045.21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8.67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10468.83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86.83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35.48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998.80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8.28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14.67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1048.95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8.70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153.18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19.71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1221.84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10.13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237.39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128.91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366.30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3.04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pgSz w:w="23814" w:h="16839" w:orient="landscape"/>
          <w:pgMar w:top="1440" w:right="1440" w:bottom="1701" w:left="1440" w:header="851" w:footer="992" w:gutter="0"/>
          <w:pgNumType w:start="1"/>
          <w:cols w:space="720" w:num="2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6" w:name="_Toc485840867"/>
      <w:bookmarkStart w:id="47" w:name="_Toc469235333"/>
      <w:r>
        <w:rPr>
          <w:rFonts w:ascii="Times New Roman" w:hAnsi="Times New Roman" w:eastAsia="黑体" w:cs="Times New Roman"/>
          <w:sz w:val="24"/>
          <w:szCs w:val="24"/>
        </w:rPr>
        <w:t>附表2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船湾镇土地利用结构调整表</w:t>
      </w:r>
      <w:bookmarkEnd w:id="46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21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134"/>
        <w:gridCol w:w="1933"/>
        <w:gridCol w:w="1870"/>
        <w:gridCol w:w="1734"/>
        <w:gridCol w:w="1870"/>
        <w:gridCol w:w="1629"/>
        <w:gridCol w:w="1870"/>
        <w:gridCol w:w="1734"/>
        <w:gridCol w:w="1870"/>
        <w:gridCol w:w="1696"/>
        <w:gridCol w:w="25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01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360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2005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49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60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356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76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-2014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01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2576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土地总面积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12056.97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12056.97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12056.97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12056.97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3910.24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32.43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4043.18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33.53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3903.50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32.38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4014.11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33.29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-29.07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93.78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91.03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206.18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1.71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203.46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1.69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112.43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5407.58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44.85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5289.41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43.87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5378.00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44.60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5276.18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43.76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-13.23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1036.69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8.60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1045.21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8.67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1066.59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8.85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1062.68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8.81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10448.29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86.66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10468.83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86.83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10554.27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87.54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10556.43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87.55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87.60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城乡建设用地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35.48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35.48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100.79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138.79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103.31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1005.32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8.34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998.80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8.28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886.86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7.36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895.53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7.43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-103.27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13.84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14.67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13.65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6.57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-8.10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50.39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22.58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1054.64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8.75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1048.95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8.70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1051.69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8.72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8.82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151.39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153.18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95.06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94.54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-58.64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19.75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19.71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19.75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19.23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-0.48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1225.78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10.17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1221.84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10.13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1166.50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9.67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1177.23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9.76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-44.61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237.78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1.97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237.39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1.97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237.34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1.97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237.34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1.97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145.12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128.91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98.86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85.96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-42.95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7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382.90</w:t>
            </w:r>
          </w:p>
        </w:tc>
        <w:tc>
          <w:tcPr>
            <w:tcW w:w="17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3.18</w:t>
            </w:r>
          </w:p>
        </w:tc>
        <w:tc>
          <w:tcPr>
            <w:tcW w:w="187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366.30</w:t>
            </w:r>
          </w:p>
        </w:tc>
        <w:tc>
          <w:tcPr>
            <w:tcW w:w="16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3.04</w:t>
            </w:r>
          </w:p>
        </w:tc>
        <w:tc>
          <w:tcPr>
            <w:tcW w:w="187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336.20</w:t>
            </w:r>
          </w:p>
        </w:tc>
        <w:tc>
          <w:tcPr>
            <w:tcW w:w="17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2.79</w:t>
            </w:r>
          </w:p>
        </w:tc>
        <w:tc>
          <w:tcPr>
            <w:tcW w:w="187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323.30</w:t>
            </w:r>
          </w:p>
        </w:tc>
        <w:tc>
          <w:tcPr>
            <w:tcW w:w="169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2.68</w:t>
            </w:r>
          </w:p>
        </w:tc>
        <w:tc>
          <w:tcPr>
            <w:tcW w:w="257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-43.00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8" w:name="_Toc485840868"/>
      <w:r>
        <w:rPr>
          <w:rFonts w:ascii="Times New Roman" w:hAnsi="Times New Roman" w:eastAsia="黑体" w:cs="Times New Roman"/>
          <w:sz w:val="24"/>
          <w:szCs w:val="24"/>
        </w:rPr>
        <w:t>附表3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船湾镇</w:t>
      </w:r>
      <w:bookmarkEnd w:id="47"/>
      <w:r>
        <w:rPr>
          <w:rFonts w:ascii="Times New Roman" w:hAnsi="Times New Roman" w:eastAsia="黑体" w:cs="Times New Roman"/>
          <w:sz w:val="24"/>
          <w:szCs w:val="24"/>
        </w:rPr>
        <w:t>土地利用规划目标调整表</w:t>
      </w:r>
      <w:bookmarkEnd w:id="4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6996"/>
        <w:gridCol w:w="3989"/>
        <w:gridCol w:w="3240"/>
        <w:gridCol w:w="2889"/>
        <w:gridCol w:w="277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5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3903.50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4007.50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104.00</w:t>
            </w:r>
          </w:p>
        </w:tc>
        <w:tc>
          <w:tcPr>
            <w:tcW w:w="27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3541.35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3535.00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-6.35</w:t>
            </w:r>
          </w:p>
        </w:tc>
        <w:tc>
          <w:tcPr>
            <w:tcW w:w="27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1166.50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1177.23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10.73</w:t>
            </w:r>
          </w:p>
        </w:tc>
        <w:tc>
          <w:tcPr>
            <w:tcW w:w="27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1051.69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1063.47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11.78</w:t>
            </w:r>
          </w:p>
        </w:tc>
        <w:tc>
          <w:tcPr>
            <w:tcW w:w="27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164.83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167.94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3.11</w:t>
            </w:r>
          </w:p>
        </w:tc>
        <w:tc>
          <w:tcPr>
            <w:tcW w:w="27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128.68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146.50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17.82</w:t>
            </w:r>
          </w:p>
        </w:tc>
        <w:tc>
          <w:tcPr>
            <w:tcW w:w="27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117.30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135.71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18.41</w:t>
            </w:r>
          </w:p>
        </w:tc>
        <w:tc>
          <w:tcPr>
            <w:tcW w:w="27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46.03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52.36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6.33</w:t>
            </w:r>
          </w:p>
        </w:tc>
        <w:tc>
          <w:tcPr>
            <w:tcW w:w="27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39.29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202.06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162.77</w:t>
            </w:r>
          </w:p>
        </w:tc>
        <w:tc>
          <w:tcPr>
            <w:tcW w:w="27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约束性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9" w:name="_Toc485840869"/>
      <w:r>
        <w:rPr>
          <w:rFonts w:ascii="Times New Roman" w:hAnsi="Times New Roman" w:eastAsia="黑体" w:cs="Times New Roman"/>
          <w:sz w:val="24"/>
          <w:szCs w:val="24"/>
        </w:rPr>
        <w:t>附表4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船湾镇落实上一级土地利用规划指标情况表</w:t>
      </w:r>
      <w:bookmarkEnd w:id="49"/>
    </w:p>
    <w:p>
      <w:pPr>
        <w:snapToGrid w:val="0"/>
        <w:spacing w:line="240" w:lineRule="exact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009"/>
        <w:gridCol w:w="4006"/>
        <w:gridCol w:w="3147"/>
        <w:gridCol w:w="2864"/>
        <w:gridCol w:w="28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40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14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6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86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4007.50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4014.11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6.61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3535.00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3535.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1177.23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1177.23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1063.47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1063.47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400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167.94</w:t>
            </w:r>
          </w:p>
        </w:tc>
        <w:tc>
          <w:tcPr>
            <w:tcW w:w="31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167.94</w:t>
            </w:r>
          </w:p>
        </w:tc>
        <w:tc>
          <w:tcPr>
            <w:tcW w:w="28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预期性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440" w:right="1440" w:bottom="1701" w:left="1440" w:header="851" w:footer="992" w:gutter="0"/>
          <w:cols w:space="720" w:num="1"/>
          <w:docGrid w:type="lines" w:linePitch="312" w:charSpace="0"/>
        </w:sectPr>
      </w:pPr>
      <w:bookmarkStart w:id="50" w:name="_Toc469235338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1" w:name="_Toc469235336"/>
      <w:bookmarkStart w:id="52" w:name="_Toc485840870"/>
      <w:r>
        <w:rPr>
          <w:rFonts w:ascii="Times New Roman" w:hAnsi="Times New Roman" w:eastAsia="黑体" w:cs="Times New Roman"/>
          <w:sz w:val="24"/>
          <w:szCs w:val="24"/>
        </w:rPr>
        <w:t>附表5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调入区域规划调整前后对比表</w:t>
      </w:r>
      <w:bookmarkEnd w:id="51"/>
      <w:bookmarkEnd w:id="52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1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532"/>
        <w:gridCol w:w="1532"/>
        <w:gridCol w:w="1532"/>
        <w:gridCol w:w="1532"/>
        <w:gridCol w:w="1532"/>
        <w:gridCol w:w="1533"/>
        <w:gridCol w:w="1533"/>
        <w:gridCol w:w="1533"/>
        <w:gridCol w:w="1533"/>
        <w:gridCol w:w="1533"/>
        <w:gridCol w:w="1533"/>
        <w:gridCol w:w="1533"/>
        <w:gridCol w:w="15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923" w:type="dxa"/>
            <w:gridSpan w:val="13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调整前</w:t>
            </w:r>
          </w:p>
        </w:tc>
        <w:tc>
          <w:tcPr>
            <w:tcW w:w="153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采矿及其他独立建设用地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其它建设用地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53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13.13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0.14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33.95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4.75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3.67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0.17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0.52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0.60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56.93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8.82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0.47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12.99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0.37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22.72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0.52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3.45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3.75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3.73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11.44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3.16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0.22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3.38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其它建设用地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25.63 </w:t>
            </w:r>
          </w:p>
        </w:tc>
        <w:tc>
          <w:tcPr>
            <w:tcW w:w="15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0.61 </w:t>
            </w:r>
          </w:p>
        </w:tc>
        <w:tc>
          <w:tcPr>
            <w:tcW w:w="15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50.40 </w:t>
            </w:r>
          </w:p>
        </w:tc>
        <w:tc>
          <w:tcPr>
            <w:tcW w:w="15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5.11 </w:t>
            </w:r>
          </w:p>
        </w:tc>
        <w:tc>
          <w:tcPr>
            <w:tcW w:w="15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7.41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3.90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0.52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0.89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94.47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3" w:name="_Toc485840871"/>
      <w:bookmarkStart w:id="54" w:name="_Toc469235337"/>
      <w:r>
        <w:rPr>
          <w:rFonts w:ascii="Times New Roman" w:hAnsi="Times New Roman" w:eastAsia="黑体" w:cs="Times New Roman"/>
          <w:sz w:val="24"/>
          <w:szCs w:val="24"/>
        </w:rPr>
        <w:t>附表6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调出区域规划调整前后对比表</w:t>
      </w:r>
      <w:bookmarkEnd w:id="53"/>
      <w:bookmarkEnd w:id="54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1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532"/>
        <w:gridCol w:w="1532"/>
        <w:gridCol w:w="1532"/>
        <w:gridCol w:w="1532"/>
        <w:gridCol w:w="1532"/>
        <w:gridCol w:w="1533"/>
        <w:gridCol w:w="1533"/>
        <w:gridCol w:w="1533"/>
        <w:gridCol w:w="1533"/>
        <w:gridCol w:w="1533"/>
        <w:gridCol w:w="1533"/>
        <w:gridCol w:w="1533"/>
        <w:gridCol w:w="15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调整前</w:t>
            </w:r>
          </w:p>
        </w:tc>
        <w:tc>
          <w:tcPr>
            <w:tcW w:w="19924" w:type="dxa"/>
            <w:gridSpan w:val="13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采矿及其他独立建设用地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11.30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6.43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1.21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18.93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6.47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0.16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3.67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3.75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14.05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采矿及其他独立建设用地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8.62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36.41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1.04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0.27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46.33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0.17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3.73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0.52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5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26.38 </w:t>
            </w:r>
          </w:p>
        </w:tc>
        <w:tc>
          <w:tcPr>
            <w:tcW w:w="15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42.84 </w:t>
            </w:r>
          </w:p>
        </w:tc>
        <w:tc>
          <w:tcPr>
            <w:tcW w:w="15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1.20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4.36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7.48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1.48 </w:t>
            </w:r>
          </w:p>
        </w:tc>
        <w:tc>
          <w:tcPr>
            <w:tcW w:w="153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83.73 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 w:orient="landscape"/>
          <w:pgMar w:top="1701" w:right="1134" w:bottom="1701" w:left="1440" w:header="851" w:footer="992" w:gutter="0"/>
          <w:cols w:space="720" w:num="1"/>
          <w:docGrid w:type="line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5" w:name="_Toc485840872"/>
      <w:r>
        <w:rPr>
          <w:rFonts w:ascii="Times New Roman" w:hAnsi="Times New Roman" w:eastAsia="黑体" w:cs="Times New Roman"/>
          <w:sz w:val="24"/>
          <w:szCs w:val="24"/>
        </w:rPr>
        <w:t>附表7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船湾镇耕地保有量和基本农田保护面积分解表</w:t>
      </w:r>
      <w:bookmarkEnd w:id="55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7"/>
        <w:gridCol w:w="5287"/>
        <w:gridCol w:w="5288"/>
        <w:gridCol w:w="5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8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28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规划2020年耕地保有量</w:t>
            </w:r>
          </w:p>
        </w:tc>
        <w:tc>
          <w:tcPr>
            <w:tcW w:w="528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规划期间基本农田保护面积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船湾村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287.89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275.94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东山村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405.61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338.43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荆村村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391.45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295.09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乐家居委会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275.58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259.55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清水江村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367.72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342.83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狮力村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310.05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292.42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四方居委会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483.00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418.23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台前村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203.58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174.09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星桥村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241.82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220.34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杨木档村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497.17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424.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玉堂村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226.78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199.76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增加滩村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323.46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293.87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28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船湾镇</w:t>
            </w:r>
          </w:p>
        </w:tc>
        <w:tc>
          <w:tcPr>
            <w:tcW w:w="528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4014.1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528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3535.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440" w:right="1440" w:bottom="1701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6" w:name="_Toc485840873"/>
      <w:r>
        <w:rPr>
          <w:rFonts w:ascii="Times New Roman" w:hAnsi="Times New Roman" w:eastAsia="黑体" w:cs="Times New Roman"/>
          <w:sz w:val="24"/>
          <w:szCs w:val="24"/>
        </w:rPr>
        <w:t>附表8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船湾镇</w:t>
      </w:r>
      <w:bookmarkEnd w:id="50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56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7"/>
        <w:gridCol w:w="5287"/>
        <w:gridCol w:w="5288"/>
        <w:gridCol w:w="5288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用途分区类型</w:t>
            </w:r>
          </w:p>
        </w:tc>
        <w:tc>
          <w:tcPr>
            <w:tcW w:w="52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2020年（修改前）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2020年（修改后）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修改后-修改前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52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3930.14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3923.85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-6.29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52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786.53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779.90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-6.63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52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108.86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146.85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38.00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52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925.09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933.76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8.67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独立工矿区</w:t>
            </w:r>
          </w:p>
        </w:tc>
        <w:tc>
          <w:tcPr>
            <w:tcW w:w="52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61.94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27.05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-34.89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风景旅游用地区</w:t>
            </w:r>
          </w:p>
        </w:tc>
        <w:tc>
          <w:tcPr>
            <w:tcW w:w="52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19.75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-19.75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林业用地区</w:t>
            </w:r>
          </w:p>
        </w:tc>
        <w:tc>
          <w:tcPr>
            <w:tcW w:w="52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5424.20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5322.38 </w:t>
            </w:r>
          </w:p>
        </w:tc>
        <w:tc>
          <w:tcPr>
            <w:tcW w:w="5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-101.82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7" w:name="_Toc469235339"/>
      <w:bookmarkStart w:id="58" w:name="_Toc485840874"/>
      <w:r>
        <w:rPr>
          <w:rFonts w:ascii="Times New Roman" w:hAnsi="Times New Roman" w:eastAsia="黑体" w:cs="Times New Roman"/>
          <w:sz w:val="24"/>
          <w:szCs w:val="24"/>
        </w:rPr>
        <w:t>附表9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船湾镇建设用地空间管制分区修改情况表</w:t>
      </w:r>
      <w:bookmarkEnd w:id="57"/>
      <w:bookmarkEnd w:id="5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5854"/>
        <w:gridCol w:w="5854"/>
        <w:gridCol w:w="492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18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85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2020年（修改前）</w:t>
            </w:r>
          </w:p>
        </w:tc>
        <w:tc>
          <w:tcPr>
            <w:tcW w:w="585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2020年（修改后）</w:t>
            </w:r>
          </w:p>
        </w:tc>
        <w:tc>
          <w:tcPr>
            <w:tcW w:w="492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修改后-修改前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1051.69 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1063.47 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11.78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有条件建设区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15.95 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15.95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11005.28 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10977.55 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-27.73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8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12056.97 </w:t>
            </w:r>
          </w:p>
        </w:tc>
        <w:tc>
          <w:tcPr>
            <w:tcW w:w="58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12056.97 </w:t>
            </w:r>
          </w:p>
        </w:tc>
        <w:tc>
          <w:tcPr>
            <w:tcW w:w="49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0.00 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pgSz w:w="23814" w:h="16839" w:orient="landscape"/>
          <w:pgMar w:top="1440" w:right="1440" w:bottom="1701" w:left="1440" w:header="851" w:footer="992" w:gutter="0"/>
          <w:cols w:space="720" w:num="1"/>
          <w:docGrid w:type="lines" w:linePitch="312" w:charSpace="0"/>
        </w:sectPr>
      </w:pPr>
    </w:p>
    <w:p>
      <w:pPr>
        <w:spacing w:afterLines="100" w:line="240" w:lineRule="exact"/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9" w:name="_Toc485840875"/>
      <w:bookmarkStart w:id="60" w:name="_Toc469235340"/>
      <w:r>
        <w:rPr>
          <w:rFonts w:ascii="Times New Roman" w:hAnsi="Times New Roman" w:eastAsia="黑体" w:cs="Times New Roman"/>
          <w:sz w:val="24"/>
          <w:szCs w:val="24"/>
        </w:rPr>
        <w:t>附表10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船湾镇2016-2020年重点建设用地项目规划表</w:t>
      </w:r>
      <w:bookmarkEnd w:id="59"/>
      <w:bookmarkEnd w:id="60"/>
    </w:p>
    <w:tbl>
      <w:tblPr>
        <w:tblStyle w:val="21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1336"/>
        <w:gridCol w:w="3405"/>
        <w:gridCol w:w="4598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清水江至茶陵公路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G106船湾绕镇公路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醴陵美田桥至株洲县古岳峰公路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改扩建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渌江大西滩至渌口段航道疏浚工程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渌水航道建设工程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危桥改造项目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改建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生命防护工程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改建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大中修项目（以省计划下达数为准）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改建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改建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招呼站建设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二、水利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渌江及支流治理工程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中小河流治理工程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三、民生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农村饮水安全及水源工程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船湾镇敬老院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清水江添福敬老院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增加滩幼儿园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船湾镇污水处理厂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船湾镇垃圾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中转站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船湾镇村级活动中心</w:t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全镇各村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四、能源</w:t>
            </w:r>
          </w:p>
          <w:tbl>
            <w:tblPr>
              <w:tblStyle w:val="21"/>
              <w:tblW w:w="20934" w:type="dxa"/>
              <w:tblInd w:w="0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0"/>
              <w:gridCol w:w="11342"/>
              <w:gridCol w:w="3416"/>
              <w:gridCol w:w="4476"/>
            </w:tblGrid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1342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船湾镇液化气站</w:t>
                  </w:r>
                </w:p>
              </w:tc>
              <w:tc>
                <w:tcPr>
                  <w:tcW w:w="3416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  <w:t>新建</w:t>
                  </w:r>
                </w:p>
              </w:tc>
              <w:tc>
                <w:tcPr>
                  <w:tcW w:w="4476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1342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船湾镇狮力液化气站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ab/>
                  </w:r>
                </w:p>
              </w:tc>
              <w:tc>
                <w:tcPr>
                  <w:tcW w:w="3416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  <w:t>新建</w:t>
                  </w:r>
                </w:p>
              </w:tc>
              <w:tc>
                <w:tcPr>
                  <w:tcW w:w="4476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11342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  <w:t>湖南恒通燃气站</w:t>
                  </w:r>
                </w:p>
              </w:tc>
              <w:tc>
                <w:tcPr>
                  <w:tcW w:w="3416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  <w:t>新建</w:t>
                  </w:r>
                </w:p>
              </w:tc>
              <w:tc>
                <w:tcPr>
                  <w:tcW w:w="4476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五、旅游</w:t>
            </w:r>
          </w:p>
          <w:tbl>
            <w:tblPr>
              <w:tblStyle w:val="21"/>
              <w:tblW w:w="20934" w:type="dxa"/>
              <w:tblInd w:w="0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0"/>
              <w:gridCol w:w="11342"/>
              <w:gridCol w:w="3416"/>
              <w:gridCol w:w="4476"/>
            </w:tblGrid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1342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船湾洛塘生态休闲基地</w:t>
                  </w:r>
                </w:p>
              </w:tc>
              <w:tc>
                <w:tcPr>
                  <w:tcW w:w="3416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  <w:t>新建</w:t>
                  </w:r>
                </w:p>
              </w:tc>
              <w:tc>
                <w:tcPr>
                  <w:tcW w:w="4476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11342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船湾服饰文化休闲小镇</w:t>
                  </w:r>
                </w:p>
              </w:tc>
              <w:tc>
                <w:tcPr>
                  <w:tcW w:w="3416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扩建</w:t>
                  </w:r>
                </w:p>
              </w:tc>
              <w:tc>
                <w:tcPr>
                  <w:tcW w:w="4476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六、其他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11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醴陵船湾职业服饰产业园</w:t>
            </w:r>
            <w:r>
              <w:rPr>
                <w:rFonts w:ascii="Times New Roman" w:hAnsi="Times New Roman" w:eastAsia="仿宋_GB2312" w:cs="Times New Roman"/>
                <w:szCs w:val="21"/>
              </w:rPr>
              <w:tab/>
            </w:r>
          </w:p>
        </w:tc>
        <w:tc>
          <w:tcPr>
            <w:tcW w:w="3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5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>
      <w:pPr>
        <w:spacing w:line="240" w:lineRule="exact"/>
        <w:rPr>
          <w:rFonts w:ascii="Times New Roman" w:hAnsi="Times New Roman" w:cs="Times New Roman"/>
          <w:sz w:val="28"/>
          <w:szCs w:val="24"/>
        </w:rPr>
        <w:sectPr>
          <w:pgSz w:w="23814" w:h="16839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1" w:name="_Toc485840876"/>
      <w:r>
        <w:rPr>
          <w:rFonts w:ascii="Times New Roman" w:hAnsi="Times New Roman" w:eastAsia="黑体" w:cs="Times New Roman"/>
          <w:sz w:val="24"/>
          <w:szCs w:val="24"/>
        </w:rPr>
        <w:t>附表11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船湾镇土地用途分区面积统计表</w:t>
      </w:r>
      <w:bookmarkEnd w:id="61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1456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3342"/>
        <w:gridCol w:w="2587"/>
        <w:gridCol w:w="2588"/>
        <w:gridCol w:w="2588"/>
        <w:gridCol w:w="2588"/>
        <w:gridCol w:w="2588"/>
        <w:gridCol w:w="2588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独立工矿用地区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林业用地区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船湾村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296.84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39.82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0.66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79.97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6.03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135.71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东山村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376.31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102.13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70.13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0.64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342.85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荆村村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347.05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127.57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62.97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1.54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591.19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乐家居委会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280.53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24.61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60.28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52.28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1.93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164.50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清水江村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364.44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41.31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99.08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0.15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141.88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狮力村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323.35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34.08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1.08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77.20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0.54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197.70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四方居委会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479.06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128.96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84.84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136.36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8.88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1355.17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台前村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201.86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52.99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43.26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785.54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星桥村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243.31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33.02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64.54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2.55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306.98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杨木档村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467.73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104.41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96.13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4.30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590.37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玉堂村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218.02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39.93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53.38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0.06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314.86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增加滩村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325.32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51.06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98.46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0.45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395.63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船湾镇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3923.85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779.90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146.85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933.76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27.05 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5322.38 </w:t>
            </w:r>
          </w:p>
        </w:tc>
      </w:tr>
    </w:tbl>
    <w:p>
      <w:pPr>
        <w:spacing w:line="240" w:lineRule="exact"/>
        <w:jc w:val="center"/>
        <w:outlineLvl w:val="1"/>
        <w:rPr>
          <w:rFonts w:ascii="Times New Roman" w:hAnsi="Times New Roman" w:eastAsia="仿宋_GB2312" w:cs="Times New Roman"/>
          <w:szCs w:val="21"/>
        </w:rPr>
      </w:pPr>
      <w:bookmarkStart w:id="62" w:name="_Toc469235341"/>
    </w:p>
    <w:p>
      <w:pPr>
        <w:widowControl/>
        <w:jc w:val="lef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br w:type="page"/>
      </w:r>
    </w:p>
    <w:p>
      <w:pPr>
        <w:spacing w:line="240" w:lineRule="exact"/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3" w:name="_Toc485840877"/>
      <w:r>
        <w:rPr>
          <w:rFonts w:ascii="Times New Roman" w:hAnsi="Times New Roman" w:eastAsia="黑体" w:cs="Times New Roman"/>
          <w:sz w:val="24"/>
          <w:szCs w:val="24"/>
        </w:rPr>
        <w:t>附表12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船湾镇2006-2020年地类结构平衡表</w:t>
      </w:r>
      <w:bookmarkEnd w:id="62"/>
      <w:bookmarkEnd w:id="63"/>
    </w:p>
    <w:p>
      <w:pPr>
        <w:widowControl/>
        <w:spacing w:line="240" w:lineRule="exact"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21"/>
        <w:tblW w:w="21456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566"/>
        <w:gridCol w:w="1042"/>
        <w:gridCol w:w="1042"/>
        <w:gridCol w:w="969"/>
        <w:gridCol w:w="969"/>
        <w:gridCol w:w="1042"/>
        <w:gridCol w:w="970"/>
        <w:gridCol w:w="899"/>
        <w:gridCol w:w="970"/>
        <w:gridCol w:w="970"/>
        <w:gridCol w:w="970"/>
        <w:gridCol w:w="970"/>
        <w:gridCol w:w="970"/>
        <w:gridCol w:w="970"/>
        <w:gridCol w:w="979"/>
        <w:gridCol w:w="970"/>
        <w:gridCol w:w="970"/>
        <w:gridCol w:w="777"/>
        <w:gridCol w:w="970"/>
        <w:gridCol w:w="970"/>
        <w:gridCol w:w="104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规划基期现状面积</w:t>
            </w:r>
          </w:p>
        </w:tc>
        <w:tc>
          <w:tcPr>
            <w:tcW w:w="15407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规划期间调整至其他地类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期间减少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净增减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891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679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12056.97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10556.43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4014.11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203.46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5276.18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1062.68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1177.23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138.79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895.53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6.57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22.58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94.54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19.23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323.30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237.34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85.96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12056.97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10448.29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115.47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115.47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135.71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82.45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38.23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10.67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4.36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135.71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108.14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10556.43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3910.24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52.36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27.68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19.40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2.10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3.17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52.36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103.87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4014.11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93.78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2.11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2.11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1.46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0.85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3.57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109.68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203.46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5407.58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94.26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94.26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68.87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46.48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13.52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7.72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1.15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163.13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-131.40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5276.18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1036.69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19.10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19.10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13.02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8.15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4.83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0.04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32.12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25.99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1062.68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1225.78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195.04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23.68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113.25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58.11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22.86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15.24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7.63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195.04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-48.55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1177.23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35.48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103.31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138.79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1005.32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129.83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16.58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113.25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18.25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14.36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3.90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148.08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-109.79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895.53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13.84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7.08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7.08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7.27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-7.27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6.57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22.58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22.58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151.39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58.13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0.02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58.11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3.90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3.73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62.03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-56.85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94.54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19.75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-0.52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19.23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382.90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48.81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17.08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31.73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10.79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5.62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4.28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0.82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59.60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-59.60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323.30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237.78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0.44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-0.44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237.34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145.12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48.81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17.08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31.73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10.35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5.62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4.28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0.38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59.16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-59.16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85.96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期间增加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243.85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156.23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113.25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31.73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58.11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146.50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103.31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38.29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22.58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5.18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</w:tbl>
    <w:p>
      <w:pPr>
        <w:widowControl/>
        <w:spacing w:line="240" w:lineRule="exact"/>
        <w:jc w:val="center"/>
        <w:rPr>
          <w:rFonts w:ascii="Times New Roman" w:hAnsi="Times New Roman" w:cs="Times New Roman"/>
        </w:rPr>
      </w:pPr>
    </w:p>
    <w:sectPr>
      <w:pgSz w:w="23814" w:h="16839" w:orient="landscape"/>
      <w:pgMar w:top="1701" w:right="1134" w:bottom="1701" w:left="1440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Times New Roman" w:hAnsi="Times New Roman" w:cs="Times New Roman"/>
      </w:rPr>
    </w:pPr>
  </w:p>
  <w:p>
    <w:pPr>
      <w:pStyle w:val="1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63459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10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2191"/>
    <w:rsid w:val="000111EB"/>
    <w:rsid w:val="000139AE"/>
    <w:rsid w:val="00034EEC"/>
    <w:rsid w:val="00044D4C"/>
    <w:rsid w:val="000479CA"/>
    <w:rsid w:val="00047A70"/>
    <w:rsid w:val="00053765"/>
    <w:rsid w:val="00060C55"/>
    <w:rsid w:val="000655B0"/>
    <w:rsid w:val="0007133B"/>
    <w:rsid w:val="00072C1C"/>
    <w:rsid w:val="00075087"/>
    <w:rsid w:val="0008718F"/>
    <w:rsid w:val="000916B0"/>
    <w:rsid w:val="00091EE3"/>
    <w:rsid w:val="00094C64"/>
    <w:rsid w:val="000B2CCD"/>
    <w:rsid w:val="000B66F3"/>
    <w:rsid w:val="000C0BE5"/>
    <w:rsid w:val="000C7535"/>
    <w:rsid w:val="000D1390"/>
    <w:rsid w:val="000D1569"/>
    <w:rsid w:val="000D4193"/>
    <w:rsid w:val="000E778D"/>
    <w:rsid w:val="000F3A70"/>
    <w:rsid w:val="001007C0"/>
    <w:rsid w:val="00101E35"/>
    <w:rsid w:val="00111568"/>
    <w:rsid w:val="00113197"/>
    <w:rsid w:val="00116559"/>
    <w:rsid w:val="0012360D"/>
    <w:rsid w:val="00126FAA"/>
    <w:rsid w:val="001351DB"/>
    <w:rsid w:val="001474C3"/>
    <w:rsid w:val="00153A25"/>
    <w:rsid w:val="001677F7"/>
    <w:rsid w:val="00176BDC"/>
    <w:rsid w:val="00177762"/>
    <w:rsid w:val="0018218C"/>
    <w:rsid w:val="00190F0F"/>
    <w:rsid w:val="001A13F4"/>
    <w:rsid w:val="001A57D9"/>
    <w:rsid w:val="001B360B"/>
    <w:rsid w:val="001C38B0"/>
    <w:rsid w:val="001C7A9C"/>
    <w:rsid w:val="001D396D"/>
    <w:rsid w:val="001E089B"/>
    <w:rsid w:val="001E0D7B"/>
    <w:rsid w:val="001F55F9"/>
    <w:rsid w:val="00204329"/>
    <w:rsid w:val="002058F0"/>
    <w:rsid w:val="00222FC7"/>
    <w:rsid w:val="00224582"/>
    <w:rsid w:val="00226878"/>
    <w:rsid w:val="002304E6"/>
    <w:rsid w:val="0025694C"/>
    <w:rsid w:val="00260E23"/>
    <w:rsid w:val="00261BDF"/>
    <w:rsid w:val="00274493"/>
    <w:rsid w:val="00280E6B"/>
    <w:rsid w:val="00291001"/>
    <w:rsid w:val="002C2998"/>
    <w:rsid w:val="002D55EB"/>
    <w:rsid w:val="002E23C8"/>
    <w:rsid w:val="002E7C41"/>
    <w:rsid w:val="002F0579"/>
    <w:rsid w:val="002F0F22"/>
    <w:rsid w:val="002F1D85"/>
    <w:rsid w:val="002F4A4E"/>
    <w:rsid w:val="002F616A"/>
    <w:rsid w:val="002F6B39"/>
    <w:rsid w:val="0030320C"/>
    <w:rsid w:val="00303EFC"/>
    <w:rsid w:val="00306B13"/>
    <w:rsid w:val="00307A6E"/>
    <w:rsid w:val="00323075"/>
    <w:rsid w:val="00323445"/>
    <w:rsid w:val="00324588"/>
    <w:rsid w:val="00336D79"/>
    <w:rsid w:val="00353235"/>
    <w:rsid w:val="003567DA"/>
    <w:rsid w:val="00370045"/>
    <w:rsid w:val="003727B4"/>
    <w:rsid w:val="00373067"/>
    <w:rsid w:val="0039693A"/>
    <w:rsid w:val="003A3B35"/>
    <w:rsid w:val="003B0A46"/>
    <w:rsid w:val="003B5C84"/>
    <w:rsid w:val="003C43AF"/>
    <w:rsid w:val="003D4970"/>
    <w:rsid w:val="0040297B"/>
    <w:rsid w:val="00410CDC"/>
    <w:rsid w:val="00413139"/>
    <w:rsid w:val="00414AB2"/>
    <w:rsid w:val="00415304"/>
    <w:rsid w:val="00415EBF"/>
    <w:rsid w:val="0042182E"/>
    <w:rsid w:val="00426EFC"/>
    <w:rsid w:val="004301EE"/>
    <w:rsid w:val="004627FF"/>
    <w:rsid w:val="00462C13"/>
    <w:rsid w:val="004714B5"/>
    <w:rsid w:val="00485F74"/>
    <w:rsid w:val="0049593D"/>
    <w:rsid w:val="004A02A0"/>
    <w:rsid w:val="004B003E"/>
    <w:rsid w:val="004B2374"/>
    <w:rsid w:val="004C6DE5"/>
    <w:rsid w:val="004D61E0"/>
    <w:rsid w:val="004F0A9B"/>
    <w:rsid w:val="00500265"/>
    <w:rsid w:val="00502A4F"/>
    <w:rsid w:val="00523EB3"/>
    <w:rsid w:val="00530243"/>
    <w:rsid w:val="00533601"/>
    <w:rsid w:val="00534EEC"/>
    <w:rsid w:val="005538AF"/>
    <w:rsid w:val="00554197"/>
    <w:rsid w:val="00562F44"/>
    <w:rsid w:val="00564043"/>
    <w:rsid w:val="0056449F"/>
    <w:rsid w:val="00573F20"/>
    <w:rsid w:val="0058759D"/>
    <w:rsid w:val="005D283F"/>
    <w:rsid w:val="005E0424"/>
    <w:rsid w:val="005E33E0"/>
    <w:rsid w:val="00603A4D"/>
    <w:rsid w:val="00626F5F"/>
    <w:rsid w:val="00627537"/>
    <w:rsid w:val="00631080"/>
    <w:rsid w:val="00633D88"/>
    <w:rsid w:val="0065211A"/>
    <w:rsid w:val="006652B7"/>
    <w:rsid w:val="00665C8D"/>
    <w:rsid w:val="00673334"/>
    <w:rsid w:val="00673F4F"/>
    <w:rsid w:val="00681832"/>
    <w:rsid w:val="006865E3"/>
    <w:rsid w:val="00691060"/>
    <w:rsid w:val="006926B7"/>
    <w:rsid w:val="00695D0E"/>
    <w:rsid w:val="006A648B"/>
    <w:rsid w:val="006A6CBF"/>
    <w:rsid w:val="006B205D"/>
    <w:rsid w:val="006B26EE"/>
    <w:rsid w:val="006B63BA"/>
    <w:rsid w:val="006B6CD1"/>
    <w:rsid w:val="006C4C8A"/>
    <w:rsid w:val="006C51DE"/>
    <w:rsid w:val="006C60F6"/>
    <w:rsid w:val="006C7FE5"/>
    <w:rsid w:val="006E7807"/>
    <w:rsid w:val="006F4175"/>
    <w:rsid w:val="00711027"/>
    <w:rsid w:val="0071198B"/>
    <w:rsid w:val="007137CC"/>
    <w:rsid w:val="007203FB"/>
    <w:rsid w:val="00720F94"/>
    <w:rsid w:val="00726D7A"/>
    <w:rsid w:val="00732A8F"/>
    <w:rsid w:val="00734A4F"/>
    <w:rsid w:val="00764378"/>
    <w:rsid w:val="00772375"/>
    <w:rsid w:val="007952E2"/>
    <w:rsid w:val="007954B6"/>
    <w:rsid w:val="007B1076"/>
    <w:rsid w:val="007B24C6"/>
    <w:rsid w:val="007D4A1A"/>
    <w:rsid w:val="007E0100"/>
    <w:rsid w:val="007E3A49"/>
    <w:rsid w:val="007F7C09"/>
    <w:rsid w:val="0080099E"/>
    <w:rsid w:val="0081049F"/>
    <w:rsid w:val="008223EC"/>
    <w:rsid w:val="00826B51"/>
    <w:rsid w:val="008378F8"/>
    <w:rsid w:val="00850784"/>
    <w:rsid w:val="00850984"/>
    <w:rsid w:val="00857184"/>
    <w:rsid w:val="00865D22"/>
    <w:rsid w:val="0087692D"/>
    <w:rsid w:val="00884372"/>
    <w:rsid w:val="00887421"/>
    <w:rsid w:val="00890CB1"/>
    <w:rsid w:val="008A7341"/>
    <w:rsid w:val="008B3513"/>
    <w:rsid w:val="008B7F2E"/>
    <w:rsid w:val="008C1099"/>
    <w:rsid w:val="008C2FC7"/>
    <w:rsid w:val="008C5C79"/>
    <w:rsid w:val="008E4920"/>
    <w:rsid w:val="008E7733"/>
    <w:rsid w:val="008F2A94"/>
    <w:rsid w:val="009057AC"/>
    <w:rsid w:val="00910362"/>
    <w:rsid w:val="00911248"/>
    <w:rsid w:val="0091581A"/>
    <w:rsid w:val="009168B3"/>
    <w:rsid w:val="00924EFC"/>
    <w:rsid w:val="00925407"/>
    <w:rsid w:val="00930AB8"/>
    <w:rsid w:val="0093500E"/>
    <w:rsid w:val="0093523A"/>
    <w:rsid w:val="00945DB8"/>
    <w:rsid w:val="00950463"/>
    <w:rsid w:val="00956C01"/>
    <w:rsid w:val="00963084"/>
    <w:rsid w:val="009A6B68"/>
    <w:rsid w:val="009B1796"/>
    <w:rsid w:val="009B1BC3"/>
    <w:rsid w:val="009B2CF3"/>
    <w:rsid w:val="009B6B1A"/>
    <w:rsid w:val="009C0AB9"/>
    <w:rsid w:val="009C7C0E"/>
    <w:rsid w:val="009D740E"/>
    <w:rsid w:val="009F1057"/>
    <w:rsid w:val="009F1143"/>
    <w:rsid w:val="009F136B"/>
    <w:rsid w:val="009F4963"/>
    <w:rsid w:val="00A00A18"/>
    <w:rsid w:val="00A05247"/>
    <w:rsid w:val="00A074C2"/>
    <w:rsid w:val="00A154F8"/>
    <w:rsid w:val="00A17940"/>
    <w:rsid w:val="00A22076"/>
    <w:rsid w:val="00A23D04"/>
    <w:rsid w:val="00A3192D"/>
    <w:rsid w:val="00A32F89"/>
    <w:rsid w:val="00A46CED"/>
    <w:rsid w:val="00A51D26"/>
    <w:rsid w:val="00A640A9"/>
    <w:rsid w:val="00A7599D"/>
    <w:rsid w:val="00A84AF5"/>
    <w:rsid w:val="00A95B25"/>
    <w:rsid w:val="00AA302F"/>
    <w:rsid w:val="00AB2A81"/>
    <w:rsid w:val="00AB4459"/>
    <w:rsid w:val="00AB4ED0"/>
    <w:rsid w:val="00AB543B"/>
    <w:rsid w:val="00AC395B"/>
    <w:rsid w:val="00AC7162"/>
    <w:rsid w:val="00AD025E"/>
    <w:rsid w:val="00AE46A7"/>
    <w:rsid w:val="00AF1CBE"/>
    <w:rsid w:val="00AF2CDB"/>
    <w:rsid w:val="00B05ADF"/>
    <w:rsid w:val="00B102A5"/>
    <w:rsid w:val="00B141F7"/>
    <w:rsid w:val="00B475FC"/>
    <w:rsid w:val="00B56860"/>
    <w:rsid w:val="00B72120"/>
    <w:rsid w:val="00B72F79"/>
    <w:rsid w:val="00B779B5"/>
    <w:rsid w:val="00B77D84"/>
    <w:rsid w:val="00B912DB"/>
    <w:rsid w:val="00BA1BCC"/>
    <w:rsid w:val="00BB77FA"/>
    <w:rsid w:val="00BC3A96"/>
    <w:rsid w:val="00BD462F"/>
    <w:rsid w:val="00BF69DE"/>
    <w:rsid w:val="00C11C26"/>
    <w:rsid w:val="00C15250"/>
    <w:rsid w:val="00C155AC"/>
    <w:rsid w:val="00C25D4C"/>
    <w:rsid w:val="00C33B57"/>
    <w:rsid w:val="00C360DA"/>
    <w:rsid w:val="00C47893"/>
    <w:rsid w:val="00C534A9"/>
    <w:rsid w:val="00C63C8E"/>
    <w:rsid w:val="00C72FE2"/>
    <w:rsid w:val="00C7492D"/>
    <w:rsid w:val="00C763B3"/>
    <w:rsid w:val="00C76C38"/>
    <w:rsid w:val="00C77D11"/>
    <w:rsid w:val="00C866CA"/>
    <w:rsid w:val="00C944A5"/>
    <w:rsid w:val="00CA1D72"/>
    <w:rsid w:val="00CA44E7"/>
    <w:rsid w:val="00CA4604"/>
    <w:rsid w:val="00CB1031"/>
    <w:rsid w:val="00CC0586"/>
    <w:rsid w:val="00CD3AF7"/>
    <w:rsid w:val="00CE0462"/>
    <w:rsid w:val="00CF7FE6"/>
    <w:rsid w:val="00D00CC3"/>
    <w:rsid w:val="00D02703"/>
    <w:rsid w:val="00D0275E"/>
    <w:rsid w:val="00D04505"/>
    <w:rsid w:val="00D11304"/>
    <w:rsid w:val="00D12925"/>
    <w:rsid w:val="00D16632"/>
    <w:rsid w:val="00D2557A"/>
    <w:rsid w:val="00D2732E"/>
    <w:rsid w:val="00D3139A"/>
    <w:rsid w:val="00D4157F"/>
    <w:rsid w:val="00D41C80"/>
    <w:rsid w:val="00D6085E"/>
    <w:rsid w:val="00D62202"/>
    <w:rsid w:val="00D65C02"/>
    <w:rsid w:val="00D6774E"/>
    <w:rsid w:val="00D7085E"/>
    <w:rsid w:val="00D76D23"/>
    <w:rsid w:val="00D81986"/>
    <w:rsid w:val="00D95140"/>
    <w:rsid w:val="00DA34BB"/>
    <w:rsid w:val="00DB2BCB"/>
    <w:rsid w:val="00DB2EBF"/>
    <w:rsid w:val="00DB5834"/>
    <w:rsid w:val="00DC3C74"/>
    <w:rsid w:val="00DC6285"/>
    <w:rsid w:val="00DD1CAB"/>
    <w:rsid w:val="00DD4B9E"/>
    <w:rsid w:val="00DD7262"/>
    <w:rsid w:val="00DE4F0F"/>
    <w:rsid w:val="00DF10AB"/>
    <w:rsid w:val="00DF5B2E"/>
    <w:rsid w:val="00DF7D81"/>
    <w:rsid w:val="00E04C2A"/>
    <w:rsid w:val="00E10149"/>
    <w:rsid w:val="00E212A2"/>
    <w:rsid w:val="00E25545"/>
    <w:rsid w:val="00E429D2"/>
    <w:rsid w:val="00E464D0"/>
    <w:rsid w:val="00E60AB5"/>
    <w:rsid w:val="00E60D12"/>
    <w:rsid w:val="00E63809"/>
    <w:rsid w:val="00E65A02"/>
    <w:rsid w:val="00E76174"/>
    <w:rsid w:val="00E92A7D"/>
    <w:rsid w:val="00E9448A"/>
    <w:rsid w:val="00E951A9"/>
    <w:rsid w:val="00EB0CB7"/>
    <w:rsid w:val="00EC7344"/>
    <w:rsid w:val="00ED294A"/>
    <w:rsid w:val="00ED36DF"/>
    <w:rsid w:val="00EE4B2C"/>
    <w:rsid w:val="00EF17AA"/>
    <w:rsid w:val="00EF63FD"/>
    <w:rsid w:val="00EF74B8"/>
    <w:rsid w:val="00F0156B"/>
    <w:rsid w:val="00F323D1"/>
    <w:rsid w:val="00F338A4"/>
    <w:rsid w:val="00F33F56"/>
    <w:rsid w:val="00F36BAA"/>
    <w:rsid w:val="00F40738"/>
    <w:rsid w:val="00F4104E"/>
    <w:rsid w:val="00F41CCC"/>
    <w:rsid w:val="00F54BB9"/>
    <w:rsid w:val="00F63E93"/>
    <w:rsid w:val="00F713C5"/>
    <w:rsid w:val="00F725DC"/>
    <w:rsid w:val="00F75BB7"/>
    <w:rsid w:val="00F76A85"/>
    <w:rsid w:val="00F9031E"/>
    <w:rsid w:val="00F93E76"/>
    <w:rsid w:val="00FA50FC"/>
    <w:rsid w:val="00FC29C9"/>
    <w:rsid w:val="00FD2A9D"/>
    <w:rsid w:val="00FD6EDD"/>
    <w:rsid w:val="5A797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85"/>
    <w:semiHidden/>
    <w:unhideWhenUsed/>
    <w:uiPriority w:val="99"/>
    <w:rPr>
      <w:b/>
      <w:bCs/>
    </w:rPr>
  </w:style>
  <w:style w:type="paragraph" w:styleId="7">
    <w:name w:val="annotation text"/>
    <w:basedOn w:val="1"/>
    <w:link w:val="84"/>
    <w:semiHidden/>
    <w:unhideWhenUsed/>
    <w:qFormat/>
    <w:uiPriority w:val="99"/>
    <w:pPr>
      <w:jc w:val="left"/>
    </w:pPr>
  </w:style>
  <w:style w:type="paragraph" w:styleId="8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Balloon Text"/>
    <w:basedOn w:val="1"/>
    <w:link w:val="83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3">
    <w:name w:val="footnote text"/>
    <w:basedOn w:val="1"/>
    <w:link w:val="65"/>
    <w:qFormat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4">
    <w:name w:val="toc 2"/>
    <w:basedOn w:val="1"/>
    <w:next w:val="1"/>
    <w:link w:val="66"/>
    <w:unhideWhenUsed/>
    <w:qFormat/>
    <w:uiPriority w:val="39"/>
    <w:pPr>
      <w:spacing w:line="360" w:lineRule="auto"/>
      <w:ind w:left="200" w:leftChars="200"/>
      <w:jc w:val="left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unhideWhenUsed/>
    <w:uiPriority w:val="99"/>
    <w:rPr>
      <w:color w:val="0000FF" w:themeColor="hyperlink"/>
      <w:u w:val="single"/>
    </w:rPr>
  </w:style>
  <w:style w:type="character" w:styleId="19">
    <w:name w:val="annotation reference"/>
    <w:basedOn w:val="15"/>
    <w:semiHidden/>
    <w:unhideWhenUsed/>
    <w:uiPriority w:val="99"/>
    <w:rPr>
      <w:sz w:val="21"/>
      <w:szCs w:val="21"/>
    </w:rPr>
  </w:style>
  <w:style w:type="character" w:styleId="20">
    <w:name w:val="footnote reference"/>
    <w:basedOn w:val="15"/>
    <w:uiPriority w:val="0"/>
    <w:rPr>
      <w:vertAlign w:val="superscript"/>
    </w:rPr>
  </w:style>
  <w:style w:type="table" w:styleId="22">
    <w:name w:val="Table Grid"/>
    <w:basedOn w:val="21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24">
    <w:name w:val="页脚 Char"/>
    <w:basedOn w:val="15"/>
    <w:link w:val="10"/>
    <w:uiPriority w:val="99"/>
    <w:rPr>
      <w:sz w:val="18"/>
      <w:szCs w:val="18"/>
    </w:rPr>
  </w:style>
  <w:style w:type="character" w:customStyle="1" w:styleId="25">
    <w:name w:val="文档结构图 Char"/>
    <w:basedOn w:val="15"/>
    <w:link w:val="8"/>
    <w:uiPriority w:val="0"/>
    <w:rPr>
      <w:rFonts w:ascii="宋体" w:eastAsia="宋体"/>
      <w:sz w:val="18"/>
      <w:szCs w:val="18"/>
    </w:rPr>
  </w:style>
  <w:style w:type="character" w:customStyle="1" w:styleId="26">
    <w:name w:val="标题 3 Char"/>
    <w:basedOn w:val="15"/>
    <w:link w:val="4"/>
    <w:uiPriority w:val="0"/>
    <w:rPr>
      <w:b/>
      <w:bCs/>
      <w:sz w:val="32"/>
      <w:szCs w:val="32"/>
    </w:rPr>
  </w:style>
  <w:style w:type="character" w:customStyle="1" w:styleId="27">
    <w:name w:val="标题 1 Char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1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4 Char"/>
    <w:basedOn w:val="15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0">
    <w:name w:val="标题 2 Char1"/>
    <w:link w:val="3"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31">
    <w:name w:val="Char Char Char Char"/>
    <w:basedOn w:val="8"/>
    <w:uiPriority w:val="0"/>
  </w:style>
  <w:style w:type="character" w:customStyle="1" w:styleId="32">
    <w:name w:val="文档结构图 Char1"/>
    <w:basedOn w:val="15"/>
    <w:semiHidden/>
    <w:qFormat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3">
    <w:name w:val="正文专用"/>
    <w:basedOn w:val="1"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4">
    <w:name w:val="纯文本 Char"/>
    <w:basedOn w:val="15"/>
    <w:link w:val="35"/>
    <w:qFormat/>
    <w:uiPriority w:val="0"/>
    <w:rPr>
      <w:rFonts w:ascii="宋体" w:hAnsi="Courier New"/>
      <w:lang w:val="en-US" w:eastAsia="zh-CN"/>
    </w:rPr>
  </w:style>
  <w:style w:type="paragraph" w:customStyle="1" w:styleId="35">
    <w:name w:val="纯文本1"/>
    <w:basedOn w:val="1"/>
    <w:link w:val="34"/>
    <w:qFormat/>
    <w:uiPriority w:val="0"/>
    <w:rPr>
      <w:rFonts w:ascii="宋体" w:hAnsi="Courier New"/>
    </w:rPr>
  </w:style>
  <w:style w:type="character" w:customStyle="1" w:styleId="36">
    <w:name w:val="txt1"/>
    <w:uiPriority w:val="0"/>
    <w:rPr>
      <w:color w:val="000000"/>
      <w:sz w:val="22"/>
      <w:szCs w:val="22"/>
    </w:rPr>
  </w:style>
  <w:style w:type="character" w:customStyle="1" w:styleId="37">
    <w:name w:val="正文文本缩进 Char"/>
    <w:basedOn w:val="15"/>
    <w:link w:val="38"/>
    <w:uiPriority w:val="0"/>
    <w:rPr>
      <w:rFonts w:eastAsia="仿宋"/>
      <w:sz w:val="28"/>
      <w:szCs w:val="24"/>
    </w:rPr>
  </w:style>
  <w:style w:type="paragraph" w:customStyle="1" w:styleId="38">
    <w:name w:val="正文文本缩进1"/>
    <w:basedOn w:val="1"/>
    <w:link w:val="37"/>
    <w:qFormat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9">
    <w:name w:val="正文文本缩进 3 Char"/>
    <w:basedOn w:val="15"/>
    <w:link w:val="40"/>
    <w:uiPriority w:val="0"/>
    <w:rPr>
      <w:rFonts w:eastAsia="仿宋"/>
      <w:color w:val="000000"/>
      <w:sz w:val="24"/>
      <w:szCs w:val="24"/>
    </w:rPr>
  </w:style>
  <w:style w:type="paragraph" w:customStyle="1" w:styleId="40">
    <w:name w:val="正文文本缩进 31"/>
    <w:basedOn w:val="1"/>
    <w:link w:val="39"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41">
    <w:name w:val="普通文字 Char Char Char Char Char Char Char Char"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2">
    <w:name w:val="highlight1"/>
    <w:uiPriority w:val="0"/>
    <w:rPr>
      <w:sz w:val="21"/>
      <w:szCs w:val="21"/>
    </w:rPr>
  </w:style>
  <w:style w:type="character" w:customStyle="1" w:styleId="43">
    <w:name w:val="正文文本缩进 2 Char"/>
    <w:basedOn w:val="15"/>
    <w:link w:val="44"/>
    <w:uiPriority w:val="0"/>
    <w:rPr>
      <w:rFonts w:eastAsia="仿宋"/>
      <w:sz w:val="28"/>
      <w:szCs w:val="24"/>
    </w:rPr>
  </w:style>
  <w:style w:type="paragraph" w:customStyle="1" w:styleId="44">
    <w:name w:val="正文文本缩进 21"/>
    <w:basedOn w:val="1"/>
    <w:link w:val="43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5">
    <w:name w:val="正文文本 Char"/>
    <w:basedOn w:val="15"/>
    <w:link w:val="46"/>
    <w:uiPriority w:val="0"/>
    <w:rPr>
      <w:rFonts w:eastAsia="仿宋"/>
      <w:sz w:val="28"/>
      <w:szCs w:val="24"/>
    </w:rPr>
  </w:style>
  <w:style w:type="paragraph" w:customStyle="1" w:styleId="46">
    <w:name w:val="正文文本1"/>
    <w:basedOn w:val="1"/>
    <w:link w:val="45"/>
    <w:uiPriority w:val="0"/>
    <w:pPr>
      <w:spacing w:after="120"/>
    </w:pPr>
    <w:rPr>
      <w:rFonts w:eastAsia="仿宋"/>
      <w:sz w:val="28"/>
      <w:szCs w:val="24"/>
    </w:rPr>
  </w:style>
  <w:style w:type="character" w:customStyle="1" w:styleId="47">
    <w:name w:val="f14b1"/>
    <w:uiPriority w:val="0"/>
    <w:rPr>
      <w:b/>
      <w:bCs/>
      <w:sz w:val="21"/>
      <w:szCs w:val="21"/>
    </w:rPr>
  </w:style>
  <w:style w:type="character" w:customStyle="1" w:styleId="48">
    <w:name w:val="日期 Char"/>
    <w:basedOn w:val="15"/>
    <w:link w:val="49"/>
    <w:uiPriority w:val="0"/>
    <w:rPr>
      <w:rFonts w:eastAsia="仿宋"/>
      <w:sz w:val="28"/>
    </w:rPr>
  </w:style>
  <w:style w:type="paragraph" w:customStyle="1" w:styleId="49">
    <w:name w:val="日期1"/>
    <w:basedOn w:val="1"/>
    <w:next w:val="1"/>
    <w:link w:val="48"/>
    <w:qFormat/>
    <w:uiPriority w:val="0"/>
    <w:rPr>
      <w:rFonts w:eastAsia="仿宋"/>
      <w:sz w:val="28"/>
    </w:rPr>
  </w:style>
  <w:style w:type="character" w:customStyle="1" w:styleId="50">
    <w:name w:val="批注框文本 Char"/>
    <w:basedOn w:val="15"/>
    <w:link w:val="51"/>
    <w:uiPriority w:val="0"/>
    <w:rPr>
      <w:rFonts w:eastAsia="仿宋"/>
      <w:sz w:val="18"/>
      <w:szCs w:val="18"/>
    </w:rPr>
  </w:style>
  <w:style w:type="paragraph" w:customStyle="1" w:styleId="51">
    <w:name w:val="批注框文本1"/>
    <w:basedOn w:val="1"/>
    <w:link w:val="50"/>
    <w:uiPriority w:val="0"/>
    <w:rPr>
      <w:rFonts w:eastAsia="仿宋"/>
      <w:sz w:val="18"/>
      <w:szCs w:val="18"/>
    </w:rPr>
  </w:style>
  <w:style w:type="character" w:customStyle="1" w:styleId="52">
    <w:name w:val="biaoti1"/>
    <w:uiPriority w:val="0"/>
    <w:rPr>
      <w:b/>
      <w:bCs/>
      <w:sz w:val="49"/>
      <w:szCs w:val="49"/>
    </w:rPr>
  </w:style>
  <w:style w:type="character" w:customStyle="1" w:styleId="53">
    <w:name w:val="批注引用1"/>
    <w:uiPriority w:val="0"/>
    <w:rPr>
      <w:sz w:val="21"/>
      <w:szCs w:val="21"/>
    </w:rPr>
  </w:style>
  <w:style w:type="character" w:customStyle="1" w:styleId="54">
    <w:name w:val="批注文字 Char"/>
    <w:basedOn w:val="15"/>
    <w:link w:val="55"/>
    <w:uiPriority w:val="0"/>
    <w:rPr>
      <w:rFonts w:eastAsia="仿宋"/>
      <w:sz w:val="28"/>
      <w:szCs w:val="24"/>
    </w:rPr>
  </w:style>
  <w:style w:type="paragraph" w:customStyle="1" w:styleId="55">
    <w:name w:val="批注文字1"/>
    <w:basedOn w:val="1"/>
    <w:link w:val="54"/>
    <w:uiPriority w:val="0"/>
    <w:pPr>
      <w:jc w:val="left"/>
    </w:pPr>
    <w:rPr>
      <w:rFonts w:eastAsia="仿宋"/>
      <w:sz w:val="28"/>
      <w:szCs w:val="24"/>
    </w:rPr>
  </w:style>
  <w:style w:type="character" w:customStyle="1" w:styleId="56">
    <w:name w:val="已访问的超链接1"/>
    <w:uiPriority w:val="0"/>
    <w:rPr>
      <w:color w:val="800080"/>
      <w:u w:val="single"/>
    </w:rPr>
  </w:style>
  <w:style w:type="character" w:customStyle="1" w:styleId="57">
    <w:name w:val="脚注文本 Char"/>
    <w:basedOn w:val="15"/>
    <w:link w:val="58"/>
    <w:qFormat/>
    <w:uiPriority w:val="0"/>
    <w:rPr>
      <w:rFonts w:eastAsia="仿宋"/>
      <w:sz w:val="18"/>
      <w:szCs w:val="18"/>
    </w:rPr>
  </w:style>
  <w:style w:type="paragraph" w:customStyle="1" w:styleId="58">
    <w:name w:val="脚注文本1"/>
    <w:basedOn w:val="1"/>
    <w:link w:val="57"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9">
    <w:name w:val="脚注引用1"/>
    <w:uiPriority w:val="0"/>
    <w:rPr>
      <w:vertAlign w:val="superscript"/>
    </w:rPr>
  </w:style>
  <w:style w:type="character" w:customStyle="1" w:styleId="60">
    <w:name w:val="批注主题 Char"/>
    <w:basedOn w:val="54"/>
    <w:link w:val="61"/>
    <w:uiPriority w:val="0"/>
    <w:rPr>
      <w:rFonts w:eastAsia="仿宋"/>
      <w:b/>
      <w:bCs/>
      <w:sz w:val="28"/>
      <w:szCs w:val="24"/>
    </w:rPr>
  </w:style>
  <w:style w:type="paragraph" w:customStyle="1" w:styleId="61">
    <w:name w:val="批注主题1"/>
    <w:basedOn w:val="55"/>
    <w:next w:val="55"/>
    <w:link w:val="60"/>
    <w:qFormat/>
    <w:uiPriority w:val="0"/>
    <w:rPr>
      <w:b/>
      <w:bCs/>
    </w:rPr>
  </w:style>
  <w:style w:type="paragraph" w:customStyle="1" w:styleId="62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3">
    <w:name w:val="段 Char"/>
    <w:link w:val="64"/>
    <w:uiPriority w:val="0"/>
    <w:rPr>
      <w:rFonts w:ascii="宋体"/>
    </w:rPr>
  </w:style>
  <w:style w:type="paragraph" w:customStyle="1" w:styleId="64">
    <w:name w:val="段"/>
    <w:link w:val="63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5">
    <w:name w:val="脚注文本 Char1"/>
    <w:basedOn w:val="15"/>
    <w:link w:val="13"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6">
    <w:name w:val="目录 2 Char"/>
    <w:basedOn w:val="15"/>
    <w:link w:val="14"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7">
    <w:name w:val="Char Char Char Char1"/>
    <w:basedOn w:val="8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8">
    <w:name w:val="纯文本2"/>
    <w:basedOn w:val="1"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9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正文文本缩进 32"/>
    <w:basedOn w:val="1"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71">
    <w:name w:val="正文文本缩进 22"/>
    <w:basedOn w:val="1"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2">
    <w:name w:val="正文文本2"/>
    <w:basedOn w:val="1"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3">
    <w:name w:val="日期2"/>
    <w:basedOn w:val="1"/>
    <w:next w:val="1"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4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5">
    <w:name w:val="批注引用2"/>
    <w:uiPriority w:val="0"/>
    <w:rPr>
      <w:sz w:val="21"/>
      <w:szCs w:val="21"/>
    </w:rPr>
  </w:style>
  <w:style w:type="paragraph" w:customStyle="1" w:styleId="76">
    <w:name w:val="批注文字2"/>
    <w:basedOn w:val="1"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7">
    <w:name w:val="已访问的超链接2"/>
    <w:uiPriority w:val="0"/>
    <w:rPr>
      <w:color w:val="800080"/>
      <w:u w:val="single"/>
    </w:rPr>
  </w:style>
  <w:style w:type="paragraph" w:customStyle="1" w:styleId="78">
    <w:name w:val="脚注文本2"/>
    <w:basedOn w:val="1"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9">
    <w:name w:val="脚注引用2"/>
    <w:uiPriority w:val="0"/>
    <w:rPr>
      <w:vertAlign w:val="superscript"/>
    </w:rPr>
  </w:style>
  <w:style w:type="paragraph" w:customStyle="1" w:styleId="80">
    <w:name w:val="批注主题2"/>
    <w:basedOn w:val="76"/>
    <w:next w:val="76"/>
    <w:uiPriority w:val="0"/>
    <w:rPr>
      <w:b/>
      <w:bCs/>
    </w:rPr>
  </w:style>
  <w:style w:type="paragraph" w:customStyle="1" w:styleId="81">
    <w:name w:val="文档结构图2"/>
    <w:basedOn w:val="1"/>
    <w:qFormat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paragraph" w:customStyle="1" w:styleId="82">
    <w:name w:val="007正文首行缩进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customStyle="1" w:styleId="83">
    <w:name w:val="批注框文本 Char1"/>
    <w:basedOn w:val="15"/>
    <w:link w:val="9"/>
    <w:semiHidden/>
    <w:uiPriority w:val="99"/>
    <w:rPr>
      <w:sz w:val="18"/>
      <w:szCs w:val="18"/>
    </w:rPr>
  </w:style>
  <w:style w:type="character" w:customStyle="1" w:styleId="84">
    <w:name w:val="批注文字 Char1"/>
    <w:basedOn w:val="15"/>
    <w:link w:val="7"/>
    <w:semiHidden/>
    <w:uiPriority w:val="99"/>
  </w:style>
  <w:style w:type="character" w:customStyle="1" w:styleId="85">
    <w:name w:val="批注主题 Char1"/>
    <w:basedOn w:val="84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D9DF0-5334-4C81-9558-8B6971EDE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3154</Words>
  <Characters>17978</Characters>
  <Lines>149</Lines>
  <Paragraphs>42</Paragraphs>
  <TotalTime>12</TotalTime>
  <ScaleCrop>false</ScaleCrop>
  <LinksUpToDate>false</LinksUpToDate>
  <CharactersWithSpaces>21090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2017-07-25T07:12:00Z</dcterms:created>
  <dc:creator>X</dc:creator>
  <cp:lastModifiedBy>Administrator</cp:lastModifiedBy>
  <cp:lastPrinted>2017-07-04T07:51:00Z</cp:lastPrinted>
  <dcterms:modified xsi:type="dcterms:W3CDTF">2018-06-27T08:23:02Z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