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2016年中央财政森林生态效益补偿基金管护补助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项目情况：2016年中央财政森林生态效益补偿基金管护补助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项目用途：用于森林生态效益补偿管护补助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绩效目标：严肃政策，规范森林生态效益补偿基金管护补助发放标准和范围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截止2017年12月31日投入资金：14.6万元</w:t>
            </w:r>
          </w:p>
          <w:p>
            <w:pPr>
              <w:spacing w:line="22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截止2017年12月31日使用资金：14.6万元，用于森林生态效益补偿管护补助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项目资金拔付率100%，项目资金使用率100%。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严肃政策，规范森林生态效益补偿基金管护补助发放标准和范围</w:t>
            </w:r>
            <w:r>
              <w:rPr>
                <w:rFonts w:ascii="仿宋" w:hAnsi="仿宋" w:eastAsia="仿宋"/>
                <w:sz w:val="24"/>
              </w:rPr>
              <w:t>。取得了良好的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322D36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211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B5213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300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20D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B0EED2-FF3A-43FC-B28C-332989BF9C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531</Characters>
  <Lines>4</Lines>
  <Paragraphs>1</Paragraphs>
  <TotalTime>329</TotalTime>
  <ScaleCrop>false</ScaleCrop>
  <LinksUpToDate>false</LinksUpToDate>
  <CharactersWithSpaces>622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2018-06-21T08:32:52Z</cp:lastPrinted>
  <dcterms:modified xsi:type="dcterms:W3CDTF">2018-06-21T08:32:54Z</dcterms:modified>
  <cp:revision>452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