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bookmarkStart w:id="0" w:name="_GoBack"/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2016年省财政森林生态效益</w:t>
      </w:r>
      <w:bookmarkEnd w:id="0"/>
      <w:r>
        <w:rPr>
          <w:rFonts w:hint="eastAsia" w:ascii="仿宋" w:hAnsi="仿宋" w:eastAsia="仿宋"/>
          <w:sz w:val="24"/>
        </w:rPr>
        <w:t>补偿基金管护补助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项目情况：2016年省财政森林生态效益补偿基金管护补助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left="1305" w:leftChars="50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项目用途：用于国有公益林管护补助和集体、个人所有公益林管护补助支出的专项资金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绩效目标：严肃政策，规范省财政森林生态效益补偿管护补助发放标准和范围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截止2017年12月31日投入资金：2.91万元</w:t>
            </w:r>
          </w:p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截止2017年12月31日使用资金：2.91万元，用于国有公益林管护补助和集体、个人所有公益林管护补助支出的专项资金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项目资金拔付率100%，项目资金使用率100%。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严肃政策，规范省财政森林生态效益补偿管护补助发放标准和范围</w:t>
            </w:r>
            <w:r>
              <w:rPr>
                <w:rFonts w:ascii="仿宋" w:hAnsi="仿宋" w:eastAsia="仿宋"/>
                <w:sz w:val="24"/>
              </w:rPr>
              <w:t>。取得了良好的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069B8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315A1E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B04386"/>
    <w:rsid w:val="00B2462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2DC9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14EE8B-7E81-4CC0-9AEC-6543C43183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563</Characters>
  <Lines>4</Lines>
  <Paragraphs>1</Paragraphs>
  <TotalTime>329</TotalTime>
  <ScaleCrop>false</ScaleCrop>
  <LinksUpToDate>false</LinksUpToDate>
  <CharactersWithSpaces>660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2018-06-21T08:32:42Z</cp:lastPrinted>
  <dcterms:modified xsi:type="dcterms:W3CDTF">2018-06-21T08:32:43Z</dcterms:modified>
  <cp:revision>449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