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C8" w:rsidRPr="00EC37C8" w:rsidRDefault="00EC37C8" w:rsidP="00EC37C8">
      <w:pPr>
        <w:spacing w:line="400" w:lineRule="exact"/>
        <w:rPr>
          <w:rFonts w:ascii="黑体" w:eastAsia="黑体" w:hAnsi="宋体" w:cs="黑体"/>
          <w:szCs w:val="32"/>
        </w:rPr>
      </w:pPr>
      <w:r w:rsidRPr="00EC37C8">
        <w:rPr>
          <w:rFonts w:ascii="黑体" w:eastAsia="黑体" w:hAnsi="宋体" w:cs="黑体" w:hint="eastAsia"/>
          <w:szCs w:val="32"/>
        </w:rPr>
        <w:t>附件1：</w:t>
      </w:r>
    </w:p>
    <w:p w:rsidR="00EC37C8" w:rsidRPr="00EC37C8" w:rsidRDefault="00EC37C8" w:rsidP="008B44AA">
      <w:pPr>
        <w:snapToGrid w:val="0"/>
        <w:jc w:val="center"/>
        <w:rPr>
          <w:rFonts w:ascii="楷体_GB2312" w:eastAsia="楷体_GB2312" w:hAnsi="宋体"/>
          <w:b/>
          <w:bCs/>
          <w:szCs w:val="32"/>
        </w:rPr>
      </w:pP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201</w:t>
      </w:r>
      <w:r w:rsidR="00E63B66">
        <w:rPr>
          <w:rFonts w:ascii="方正小标宋_GBK" w:eastAsia="方正小标宋_GBK" w:hAnsi="宋体" w:hint="eastAsia"/>
          <w:bCs/>
          <w:sz w:val="40"/>
          <w:szCs w:val="40"/>
        </w:rPr>
        <w:t>4</w:t>
      </w: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年度</w:t>
      </w:r>
      <w:r w:rsidR="00E63B66" w:rsidRPr="00EC37C8">
        <w:rPr>
          <w:rFonts w:ascii="方正小标宋_GBK" w:eastAsia="方正小标宋_GBK" w:hAnsi="宋体" w:hint="eastAsia"/>
          <w:bCs/>
          <w:sz w:val="40"/>
          <w:szCs w:val="40"/>
        </w:rPr>
        <w:t>重点督查企业存在问题情况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813"/>
        <w:gridCol w:w="6379"/>
      </w:tblGrid>
      <w:tr w:rsidR="00A37613" w:rsidRPr="00EC37C8" w:rsidTr="00A37613">
        <w:trPr>
          <w:trHeight w:val="519"/>
        </w:trPr>
        <w:tc>
          <w:tcPr>
            <w:tcW w:w="705" w:type="dxa"/>
            <w:vAlign w:val="center"/>
          </w:tcPr>
          <w:p w:rsidR="00A37613" w:rsidRPr="00EC37C8" w:rsidRDefault="00A37613" w:rsidP="00EC37C8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3" w:type="dxa"/>
            <w:vAlign w:val="center"/>
          </w:tcPr>
          <w:p w:rsidR="00A37613" w:rsidRPr="00EC37C8" w:rsidRDefault="00A37613" w:rsidP="00EC37C8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379" w:type="dxa"/>
            <w:vAlign w:val="center"/>
          </w:tcPr>
          <w:p w:rsidR="00A37613" w:rsidRPr="00EC37C8" w:rsidRDefault="00A37613" w:rsidP="00EC37C8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检查存在的问题</w:t>
            </w:r>
          </w:p>
        </w:tc>
      </w:tr>
      <w:tr w:rsidR="00A37613" w:rsidRPr="00EC37C8" w:rsidTr="00A37613">
        <w:trPr>
          <w:trHeight w:val="1792"/>
        </w:trPr>
        <w:tc>
          <w:tcPr>
            <w:tcW w:w="705" w:type="dxa"/>
            <w:vAlign w:val="center"/>
          </w:tcPr>
          <w:p w:rsidR="00A37613" w:rsidRPr="00EC37C8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湖南金田锌业有限公司</w:t>
            </w:r>
          </w:p>
        </w:tc>
        <w:tc>
          <w:tcPr>
            <w:tcW w:w="6379" w:type="dxa"/>
            <w:vAlign w:val="center"/>
          </w:tcPr>
          <w:p w:rsidR="00A37613" w:rsidRDefault="00A37613" w:rsidP="00E63B66">
            <w:pPr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、厂区地面灰尘、泥浆、积水较多；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、危险废物的标识标牌不全，分类分仓堆存不到位；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、拆除的压滤机板框及滤布上的物料露天堆放；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、危险废物的包装袋积存较多；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、危险废物贮存台账填写不全；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、缺危险废物处置利用经营台账；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、转移联单填写不规范：未编号、缺填、同一笔迹填写；缺转移台账；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、缺</w:t>
            </w:r>
            <w:r>
              <w:rPr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年应急演练相关资料。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株洲金程实业有限公司</w:t>
            </w:r>
          </w:p>
        </w:tc>
        <w:tc>
          <w:tcPr>
            <w:tcW w:w="6379" w:type="dxa"/>
            <w:vAlign w:val="center"/>
          </w:tcPr>
          <w:p w:rsidR="00A37613" w:rsidRPr="00E32481" w:rsidRDefault="00A37613" w:rsidP="00AF1DDE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smartTag w:uri="urn:schemas-microsoft-com:office:smarttags" w:element="chsdate">
              <w:smartTagPr>
                <w:attr w:name="Year" w:val="2013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2013</w:t>
              </w: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年</w:t>
              </w: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6</w:t>
              </w: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月</w:t>
              </w: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16</w:t>
              </w:r>
              <w:r w:rsidRPr="00E32481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日</w:t>
              </w:r>
            </w:smartTag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监测报告一份，监测频次过低；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、转移联单填写不规范，数量与出入库登记不相符；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、未见危险废物处置利用经营台账；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、部分仓库危险废物标识受腐蚀严重，所标内容不明；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、进</w:t>
            </w:r>
            <w:r w:rsidRPr="00A37613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料库附近车辆冲洗处的低位水槽过浅，排水时容易外溢；</w:t>
            </w:r>
            <w:r w:rsidRPr="00A37613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6</w:t>
            </w:r>
            <w:r w:rsidRPr="00A37613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、原料库顶棚瓦片破损严重，易漏水。</w:t>
            </w:r>
          </w:p>
        </w:tc>
      </w:tr>
      <w:tr w:rsidR="00A37613" w:rsidRPr="00EC37C8" w:rsidTr="00A37613">
        <w:trPr>
          <w:trHeight w:val="1770"/>
        </w:trPr>
        <w:tc>
          <w:tcPr>
            <w:tcW w:w="705" w:type="dxa"/>
            <w:vAlign w:val="center"/>
          </w:tcPr>
          <w:p w:rsidR="00A37613" w:rsidRPr="00EC37C8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 w:rsidRPr="00E32481">
              <w:rPr>
                <w:rFonts w:ascii="仿宋_GB2312" w:hint="eastAsia"/>
                <w:sz w:val="24"/>
                <w:szCs w:val="24"/>
              </w:rPr>
              <w:t>株洲市亿丰新材料有限责任公司</w:t>
            </w:r>
          </w:p>
        </w:tc>
        <w:tc>
          <w:tcPr>
            <w:tcW w:w="6379" w:type="dxa"/>
            <w:vAlign w:val="center"/>
          </w:tcPr>
          <w:p w:rsidR="00A37613" w:rsidRPr="00E32481" w:rsidRDefault="00A37613" w:rsidP="00AF1DDE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、转移联单未编号，填写不规范，数量与出入库登记不相符；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、应急演练过于简单，没有相关照片；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、缺失延期贮存手续；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、缺危险废物承运单位相关资质证明资料及承运合同；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、厂区地面积水严重；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、冷却水进水泵漏水，水外溢；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、厂区地面硬化不完全，尤其是原料库附近；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E3248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、前期雨水和后期雨水为同一闸门，</w:t>
            </w:r>
            <w:r w:rsidRPr="00A37613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处置不当易导致前期雨水外排。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813" w:type="dxa"/>
            <w:vAlign w:val="center"/>
          </w:tcPr>
          <w:p w:rsidR="00A37613" w:rsidRPr="00E32481" w:rsidRDefault="00A37613" w:rsidP="002B563D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醴陵圣梵莎陶瓷有限公司</w:t>
            </w:r>
          </w:p>
        </w:tc>
        <w:tc>
          <w:tcPr>
            <w:tcW w:w="6379" w:type="dxa"/>
            <w:vAlign w:val="center"/>
          </w:tcPr>
          <w:p w:rsidR="00A37613" w:rsidRPr="008B44AA" w:rsidRDefault="00A37613" w:rsidP="008B44A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、危险废物转移未经环保部门审批，未填写转移联单位；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、危险废物贮存场未设置标志标牌；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、废水收集池未做防渗措施；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、一般固体废物未入棚堆放。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湖南南车时代电动汽车股份有限公司</w:t>
            </w:r>
          </w:p>
        </w:tc>
        <w:tc>
          <w:tcPr>
            <w:tcW w:w="6379" w:type="dxa"/>
            <w:vAlign w:val="center"/>
          </w:tcPr>
          <w:p w:rsidR="00A37613" w:rsidRPr="002736B4" w:rsidRDefault="00A37613" w:rsidP="002736B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、危险废物贮存场所有危废和一般固废混存现象；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、未建立危险废物规范化管理基本档案和年度档案；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、未制订培训计划；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、未按要求进行应急演练。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株洲松本林化有限公司</w:t>
            </w:r>
          </w:p>
        </w:tc>
        <w:tc>
          <w:tcPr>
            <w:tcW w:w="6379" w:type="dxa"/>
            <w:vAlign w:val="center"/>
          </w:tcPr>
          <w:p w:rsidR="00A37613" w:rsidRPr="003558AB" w:rsidRDefault="00A37613" w:rsidP="002736B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、废油未交有资质单位处置；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、危废贮存场所不规范，未设置标识标牌；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、未建立危险废物规范化管理基本档案和年度档案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813" w:type="dxa"/>
            <w:vAlign w:val="center"/>
          </w:tcPr>
          <w:p w:rsidR="00A37613" w:rsidRDefault="00A37613" w:rsidP="002B563D">
            <w:pPr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株洲市荷塘区连红汽配行</w:t>
            </w:r>
          </w:p>
        </w:tc>
        <w:tc>
          <w:tcPr>
            <w:tcW w:w="6379" w:type="dxa"/>
            <w:vAlign w:val="center"/>
          </w:tcPr>
          <w:p w:rsidR="00A37613" w:rsidRPr="00B51A8A" w:rsidRDefault="00A37613" w:rsidP="002736B4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、废铅酸电池转移未经环保部门审批，未填写转移联单；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、运输废铅酸电池的单位不具备运输危废的资质；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、废铅酸电池贮存场所不规范。</w:t>
            </w:r>
          </w:p>
        </w:tc>
      </w:tr>
      <w:tr w:rsidR="00A37613" w:rsidRPr="00B06CC2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813" w:type="dxa"/>
            <w:vAlign w:val="center"/>
          </w:tcPr>
          <w:p w:rsidR="00A37613" w:rsidRDefault="00A37613" w:rsidP="00A37613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株洲钻石切削刀具股份有限公司</w:t>
            </w:r>
          </w:p>
        </w:tc>
        <w:tc>
          <w:tcPr>
            <w:tcW w:w="6379" w:type="dxa"/>
            <w:vAlign w:val="center"/>
          </w:tcPr>
          <w:p w:rsidR="00A37613" w:rsidRPr="00B06CC2" w:rsidRDefault="00A37613" w:rsidP="00B06CC2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、危险废物贮存场所不规范，未分区分类，未设置标识标牌；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未及时制定危险废物管理计划和申报登记，并向环保部门备案；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37613">
              <w:rPr>
                <w:rFonts w:ascii="宋体" w:cs="宋体" w:hint="eastAsia"/>
                <w:color w:val="000000"/>
                <w:w w:val="90"/>
                <w:kern w:val="0"/>
                <w:sz w:val="24"/>
                <w:szCs w:val="24"/>
              </w:rPr>
              <w:t>未制订培训计划；</w:t>
            </w:r>
            <w:r w:rsidRPr="00A37613">
              <w:rPr>
                <w:rFonts w:ascii="宋体" w:cs="宋体" w:hint="eastAsia"/>
                <w:color w:val="000000"/>
                <w:w w:val="90"/>
                <w:kern w:val="0"/>
                <w:sz w:val="24"/>
                <w:szCs w:val="24"/>
              </w:rPr>
              <w:t>4</w:t>
            </w:r>
            <w:r w:rsidRPr="00A37613">
              <w:rPr>
                <w:rFonts w:ascii="宋体" w:cs="宋体" w:hint="eastAsia"/>
                <w:color w:val="000000"/>
                <w:w w:val="90"/>
                <w:kern w:val="0"/>
                <w:sz w:val="24"/>
                <w:szCs w:val="24"/>
              </w:rPr>
              <w:t>、未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按</w:t>
            </w:r>
            <w:r w:rsidRPr="00A37613">
              <w:rPr>
                <w:rFonts w:ascii="宋体" w:cs="宋体" w:hint="eastAsia"/>
                <w:color w:val="000000"/>
                <w:w w:val="90"/>
                <w:kern w:val="0"/>
                <w:sz w:val="24"/>
                <w:szCs w:val="24"/>
              </w:rPr>
              <w:t>要求进行应急演练。</w:t>
            </w:r>
          </w:p>
        </w:tc>
      </w:tr>
      <w:tr w:rsidR="00A37613" w:rsidRPr="00B06CC2" w:rsidTr="00A37613">
        <w:trPr>
          <w:trHeight w:val="838"/>
        </w:trPr>
        <w:tc>
          <w:tcPr>
            <w:tcW w:w="705" w:type="dxa"/>
            <w:vAlign w:val="center"/>
          </w:tcPr>
          <w:p w:rsidR="00A37613" w:rsidRDefault="00A37613" w:rsidP="00EC37C8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813" w:type="dxa"/>
            <w:vAlign w:val="center"/>
          </w:tcPr>
          <w:p w:rsidR="00A37613" w:rsidRDefault="00A37613" w:rsidP="00A37613">
            <w:pPr>
              <w:spacing w:line="32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株洲市兰天河西汽车销售有限公司</w:t>
            </w:r>
          </w:p>
        </w:tc>
        <w:tc>
          <w:tcPr>
            <w:tcW w:w="6379" w:type="dxa"/>
            <w:vAlign w:val="center"/>
          </w:tcPr>
          <w:p w:rsidR="00A37613" w:rsidRPr="00B06CC2" w:rsidRDefault="00A37613" w:rsidP="000B7296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、危险废物贮存场所不规范，未设置标识标牌；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、废活性炭和过滤棉未送有资质单位处置；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、未建立危险废物规范化管理基本档案和年度档案。</w:t>
            </w:r>
          </w:p>
        </w:tc>
      </w:tr>
    </w:tbl>
    <w:p w:rsidR="00EC37C8" w:rsidRPr="00F6394E" w:rsidRDefault="00EC37C8" w:rsidP="00F6394E">
      <w:pPr>
        <w:jc w:val="left"/>
      </w:pPr>
      <w:r w:rsidRPr="00EC37C8">
        <w:rPr>
          <w:rFonts w:ascii="黑体" w:eastAsia="黑体" w:hAnsi="宋体" w:cs="黑体" w:hint="eastAsia"/>
          <w:szCs w:val="32"/>
        </w:rPr>
        <w:lastRenderedPageBreak/>
        <w:t>附件2：</w:t>
      </w:r>
    </w:p>
    <w:p w:rsidR="008B44AA" w:rsidRDefault="00EC37C8" w:rsidP="002B563D">
      <w:pPr>
        <w:snapToGrid w:val="0"/>
        <w:jc w:val="center"/>
        <w:rPr>
          <w:rFonts w:ascii="方正小标宋_GBK" w:eastAsia="方正小标宋_GBK" w:hAnsi="宋体"/>
          <w:bCs/>
          <w:sz w:val="40"/>
          <w:szCs w:val="40"/>
        </w:rPr>
      </w:pP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201</w:t>
      </w:r>
      <w:r w:rsidR="008B44AA">
        <w:rPr>
          <w:rFonts w:ascii="方正小标宋_GBK" w:eastAsia="方正小标宋_GBK" w:hAnsi="宋体" w:hint="eastAsia"/>
          <w:bCs/>
          <w:sz w:val="40"/>
          <w:szCs w:val="40"/>
        </w:rPr>
        <w:t>5</w:t>
      </w: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年重点督查企业存在问题情况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239"/>
        <w:gridCol w:w="5812"/>
      </w:tblGrid>
      <w:tr w:rsidR="00A37613" w:rsidRPr="00EC37C8" w:rsidTr="00A37613">
        <w:trPr>
          <w:trHeight w:val="519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39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5812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检查存在的问题</w:t>
            </w:r>
          </w:p>
        </w:tc>
      </w:tr>
      <w:tr w:rsidR="00A37613" w:rsidRPr="00EC37C8" w:rsidTr="00A37613">
        <w:trPr>
          <w:trHeight w:val="1101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湖南海利株洲精细化工有限公司</w:t>
            </w:r>
          </w:p>
        </w:tc>
        <w:tc>
          <w:tcPr>
            <w:tcW w:w="5812" w:type="dxa"/>
            <w:vAlign w:val="center"/>
          </w:tcPr>
          <w:p w:rsidR="00A37613" w:rsidRPr="00AC69AE" w:rsidRDefault="00A37613" w:rsidP="002B563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、危险废物标识标牌设置不规范；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、未建立危险废物规范化管理基本档案和年度档案；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、废盐渣长期贮存在仓库，未及时处置。</w:t>
            </w:r>
          </w:p>
        </w:tc>
      </w:tr>
      <w:tr w:rsidR="00A37613" w:rsidRPr="00EC37C8" w:rsidTr="00A37613">
        <w:trPr>
          <w:trHeight w:val="1543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株洲冶炼集团股份有限公司</w:t>
            </w:r>
          </w:p>
        </w:tc>
        <w:tc>
          <w:tcPr>
            <w:tcW w:w="5812" w:type="dxa"/>
            <w:vAlign w:val="center"/>
          </w:tcPr>
          <w:p w:rsidR="00A37613" w:rsidRPr="00E32481" w:rsidRDefault="00A37613" w:rsidP="002B563D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危险废物标识标牌设置不规范；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、甘汞包装桶缺乏标签；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、砷烟灰现场有物料抛撒，未及时清理；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、未制订培训计划；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2014</w:t>
            </w:r>
            <w:r>
              <w:rPr>
                <w:rFonts w:hint="eastAsia"/>
                <w:sz w:val="24"/>
                <w:szCs w:val="24"/>
              </w:rPr>
              <w:t>年度危废产生、贮存、处置台帐未装订成册；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、现场缺乏管理制度，现场无台帐。</w:t>
            </w:r>
          </w:p>
        </w:tc>
      </w:tr>
      <w:tr w:rsidR="00A37613" w:rsidRPr="00EC37C8" w:rsidTr="00A37613">
        <w:trPr>
          <w:trHeight w:val="1565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株洲福尔程有限公司</w:t>
            </w:r>
          </w:p>
        </w:tc>
        <w:tc>
          <w:tcPr>
            <w:tcW w:w="5812" w:type="dxa"/>
            <w:vAlign w:val="center"/>
          </w:tcPr>
          <w:p w:rsidR="00A37613" w:rsidRPr="00E32481" w:rsidRDefault="00A37613" w:rsidP="002B563D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、危险废物规范化管理台帐不完善；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、转移联单填写不规范；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、未及时制定危险废物管理计划和申报登记，并向环保部门备案；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、未制订培训计划；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、未按要求进行应急演练。</w:t>
            </w:r>
          </w:p>
        </w:tc>
      </w:tr>
      <w:tr w:rsidR="00A37613" w:rsidRPr="00EC37C8" w:rsidTr="00A37613">
        <w:trPr>
          <w:trHeight w:val="1545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株洲市石峰区利军经营部</w:t>
            </w:r>
          </w:p>
        </w:tc>
        <w:tc>
          <w:tcPr>
            <w:tcW w:w="5812" w:type="dxa"/>
            <w:vAlign w:val="center"/>
          </w:tcPr>
          <w:p w:rsidR="00A37613" w:rsidRPr="00A92D18" w:rsidRDefault="00A37613" w:rsidP="002B563D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、危险废物转移台帐不完善，未装订成册；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、现场油桶杂乱摆放；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、地面硬化不完全；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、未向环保部门汇报经营情况；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、未制定危险废物管理计划和申报登记。</w:t>
            </w:r>
          </w:p>
        </w:tc>
      </w:tr>
      <w:tr w:rsidR="00A37613" w:rsidRPr="00EC37C8" w:rsidTr="00A37613">
        <w:trPr>
          <w:trHeight w:val="1270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株洲市石峰区发湘脱模油厂</w:t>
            </w:r>
          </w:p>
        </w:tc>
        <w:tc>
          <w:tcPr>
            <w:tcW w:w="5812" w:type="dxa"/>
            <w:vAlign w:val="center"/>
          </w:tcPr>
          <w:p w:rsidR="00A37613" w:rsidRPr="00A92D18" w:rsidRDefault="00A37613" w:rsidP="002B563D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、现场油桶杂乱摆放；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、地面硬化不完全；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、未向环保部门汇报经营情况；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、未制定危险废物管理计划和申报登记。</w:t>
            </w:r>
          </w:p>
        </w:tc>
      </w:tr>
      <w:tr w:rsidR="00A37613" w:rsidRPr="00EC37C8" w:rsidTr="00A37613">
        <w:trPr>
          <w:trHeight w:val="1827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239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湖南南方宇航工业有限公司</w:t>
            </w:r>
          </w:p>
        </w:tc>
        <w:tc>
          <w:tcPr>
            <w:tcW w:w="5812" w:type="dxa"/>
            <w:vAlign w:val="center"/>
          </w:tcPr>
          <w:p w:rsidR="00A37613" w:rsidRPr="000B7296" w:rsidRDefault="00A37613" w:rsidP="000B7296">
            <w:pPr>
              <w:adjustRightInd w:val="0"/>
              <w:snapToGrid w:val="0"/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、危险废物规范化管理台帐不完善；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、危险废物标识标牌不完全；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、未及时制定危险废物管理计划和申报登记，并向环保部门备案；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、未制订培训计划；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、未按要求进行应急演练。</w:t>
            </w:r>
          </w:p>
        </w:tc>
      </w:tr>
    </w:tbl>
    <w:p w:rsidR="006A258D" w:rsidRDefault="006A258D" w:rsidP="00EA095F">
      <w:pPr>
        <w:jc w:val="left"/>
        <w:rPr>
          <w:rFonts w:ascii="黑体" w:eastAsia="黑体" w:hAnsi="宋体" w:cs="黑体" w:hint="eastAsia"/>
          <w:szCs w:val="32"/>
        </w:rPr>
      </w:pPr>
    </w:p>
    <w:p w:rsidR="00A37613" w:rsidRDefault="00A37613" w:rsidP="00EA095F">
      <w:pPr>
        <w:jc w:val="left"/>
        <w:rPr>
          <w:rFonts w:ascii="黑体" w:eastAsia="黑体" w:hAnsi="宋体" w:cs="黑体" w:hint="eastAsia"/>
          <w:szCs w:val="32"/>
        </w:rPr>
      </w:pPr>
    </w:p>
    <w:p w:rsidR="00A37613" w:rsidRDefault="00A37613" w:rsidP="00EA095F">
      <w:pPr>
        <w:jc w:val="left"/>
        <w:rPr>
          <w:rFonts w:ascii="黑体" w:eastAsia="黑体" w:hAnsi="宋体" w:cs="黑体" w:hint="eastAsia"/>
          <w:szCs w:val="32"/>
        </w:rPr>
      </w:pPr>
    </w:p>
    <w:p w:rsidR="00A37613" w:rsidRDefault="00A37613" w:rsidP="00EA095F">
      <w:pPr>
        <w:jc w:val="left"/>
        <w:rPr>
          <w:rFonts w:ascii="黑体" w:eastAsia="黑体" w:hAnsi="宋体" w:cs="黑体"/>
          <w:szCs w:val="32"/>
        </w:rPr>
      </w:pPr>
    </w:p>
    <w:p w:rsidR="00EA095F" w:rsidRPr="00F6394E" w:rsidRDefault="00EA095F" w:rsidP="00EA095F">
      <w:pPr>
        <w:jc w:val="left"/>
      </w:pPr>
      <w:r w:rsidRPr="00EC37C8">
        <w:rPr>
          <w:rFonts w:ascii="黑体" w:eastAsia="黑体" w:hAnsi="宋体" w:cs="黑体" w:hint="eastAsia"/>
          <w:szCs w:val="32"/>
        </w:rPr>
        <w:lastRenderedPageBreak/>
        <w:t>附件</w:t>
      </w:r>
      <w:r>
        <w:rPr>
          <w:rFonts w:ascii="黑体" w:eastAsia="黑体" w:hAnsi="宋体" w:cs="黑体" w:hint="eastAsia"/>
          <w:szCs w:val="32"/>
        </w:rPr>
        <w:t>3</w:t>
      </w:r>
      <w:r w:rsidRPr="00EC37C8">
        <w:rPr>
          <w:rFonts w:ascii="黑体" w:eastAsia="黑体" w:hAnsi="宋体" w:cs="黑体" w:hint="eastAsia"/>
          <w:szCs w:val="32"/>
        </w:rPr>
        <w:t>：</w:t>
      </w:r>
    </w:p>
    <w:p w:rsidR="008B44AA" w:rsidRDefault="008B44AA" w:rsidP="00EA095F">
      <w:pPr>
        <w:snapToGrid w:val="0"/>
        <w:jc w:val="center"/>
        <w:rPr>
          <w:rFonts w:ascii="方正小标宋_GBK" w:eastAsia="方正小标宋_GBK" w:hAnsi="宋体"/>
          <w:bCs/>
          <w:sz w:val="40"/>
          <w:szCs w:val="40"/>
        </w:rPr>
      </w:pP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201</w:t>
      </w:r>
      <w:r>
        <w:rPr>
          <w:rFonts w:ascii="方正小标宋_GBK" w:eastAsia="方正小标宋_GBK" w:hAnsi="宋体" w:hint="eastAsia"/>
          <w:bCs/>
          <w:sz w:val="40"/>
          <w:szCs w:val="40"/>
        </w:rPr>
        <w:t>6</w:t>
      </w:r>
      <w:r w:rsidRPr="00EC37C8">
        <w:rPr>
          <w:rFonts w:ascii="方正小标宋_GBK" w:eastAsia="方正小标宋_GBK" w:hAnsi="宋体" w:hint="eastAsia"/>
          <w:bCs/>
          <w:sz w:val="40"/>
          <w:szCs w:val="40"/>
        </w:rPr>
        <w:t>年重点督查企业存在问题情况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664"/>
        <w:gridCol w:w="5386"/>
      </w:tblGrid>
      <w:tr w:rsidR="00A37613" w:rsidRPr="00EC37C8" w:rsidTr="00A37613">
        <w:trPr>
          <w:trHeight w:val="501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4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5386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EC37C8">
              <w:rPr>
                <w:rFonts w:ascii="仿宋_GB2312" w:hAnsi="宋体" w:hint="eastAsia"/>
                <w:b/>
                <w:bCs/>
                <w:sz w:val="24"/>
                <w:szCs w:val="24"/>
              </w:rPr>
              <w:t>检查存在的问题</w:t>
            </w:r>
          </w:p>
        </w:tc>
      </w:tr>
      <w:tr w:rsidR="00A37613" w:rsidRPr="00EC37C8" w:rsidTr="00A37613">
        <w:trPr>
          <w:trHeight w:val="732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湖南宝海生物科技有限公司</w:t>
            </w:r>
          </w:p>
        </w:tc>
        <w:tc>
          <w:tcPr>
            <w:tcW w:w="5386" w:type="dxa"/>
            <w:vAlign w:val="center"/>
          </w:tcPr>
          <w:p w:rsidR="00A37613" w:rsidRPr="006B67E9" w:rsidRDefault="00A37613" w:rsidP="002B563D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、污水处理站压滤渣未设置危废标识牌；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、处置利用设施未设置标识牌；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、水淬渣露天堆放；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、污水处理站导游系统不完善。</w:t>
            </w:r>
          </w:p>
        </w:tc>
      </w:tr>
      <w:tr w:rsidR="00A37613" w:rsidRPr="00EC37C8" w:rsidTr="00A37613">
        <w:trPr>
          <w:trHeight w:val="773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株洲南车时代电气股份有限公司</w:t>
            </w:r>
          </w:p>
        </w:tc>
        <w:tc>
          <w:tcPr>
            <w:tcW w:w="5386" w:type="dxa"/>
            <w:vAlign w:val="center"/>
          </w:tcPr>
          <w:p w:rsidR="00A37613" w:rsidRPr="006B67E9" w:rsidRDefault="00A37613" w:rsidP="006B67E9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、未完善危险废物规范化管理台帐；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、未按要求进行应急演练。</w:t>
            </w:r>
          </w:p>
        </w:tc>
      </w:tr>
      <w:tr w:rsidR="00A37613" w:rsidRPr="00EC37C8" w:rsidTr="00A37613">
        <w:trPr>
          <w:trHeight w:val="838"/>
        </w:trPr>
        <w:tc>
          <w:tcPr>
            <w:tcW w:w="705" w:type="dxa"/>
            <w:vAlign w:val="center"/>
          </w:tcPr>
          <w:p w:rsidR="00A37613" w:rsidRPr="00EC37C8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南车株洲电机有限公司</w:t>
            </w:r>
          </w:p>
        </w:tc>
        <w:tc>
          <w:tcPr>
            <w:tcW w:w="5386" w:type="dxa"/>
            <w:vAlign w:val="center"/>
          </w:tcPr>
          <w:p w:rsidR="00A37613" w:rsidRPr="006B67E9" w:rsidRDefault="00A37613" w:rsidP="00A37613"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、未完善危险废物规范化管理台帐；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、未制订培训计划；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、未按要求进行应急演练。</w:t>
            </w:r>
          </w:p>
        </w:tc>
      </w:tr>
      <w:tr w:rsidR="00A37613" w:rsidRPr="00EC37C8" w:rsidTr="00A37613">
        <w:trPr>
          <w:trHeight w:val="1671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株洲齿轮有限公司</w:t>
            </w:r>
          </w:p>
        </w:tc>
        <w:tc>
          <w:tcPr>
            <w:tcW w:w="5386" w:type="dxa"/>
            <w:vAlign w:val="center"/>
          </w:tcPr>
          <w:p w:rsidR="00A37613" w:rsidRDefault="00A37613" w:rsidP="00A37613"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、未做好危险废物规范化管理台帐，档案未装订成册；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、废铁屑收集处三防不到位，有废油渗漏；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、一般固废与危险废物未分区域堆存。</w:t>
            </w:r>
          </w:p>
        </w:tc>
      </w:tr>
      <w:tr w:rsidR="00A37613" w:rsidRPr="00EC37C8" w:rsidTr="00A37613">
        <w:trPr>
          <w:trHeight w:val="1281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株洲市医疗废物集中处置有限公司</w:t>
            </w:r>
          </w:p>
        </w:tc>
        <w:tc>
          <w:tcPr>
            <w:tcW w:w="5386" w:type="dxa"/>
            <w:vAlign w:val="center"/>
          </w:tcPr>
          <w:p w:rsidR="00A37613" w:rsidRPr="001165A4" w:rsidRDefault="00A37613" w:rsidP="00A37613"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、危险废物规范化管理台帐不完善，未装订成册；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送衡兴临时处置的医疗废物转移联单填写不规范。</w:t>
            </w:r>
          </w:p>
        </w:tc>
      </w:tr>
      <w:tr w:rsidR="00A37613" w:rsidRPr="00EC37C8" w:rsidTr="00A37613">
        <w:trPr>
          <w:trHeight w:val="1342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中国南方航空工业（集团）有限公司</w:t>
            </w:r>
          </w:p>
        </w:tc>
        <w:tc>
          <w:tcPr>
            <w:tcW w:w="5386" w:type="dxa"/>
            <w:vAlign w:val="center"/>
          </w:tcPr>
          <w:p w:rsidR="00A37613" w:rsidRPr="003B48CC" w:rsidRDefault="00A37613" w:rsidP="00A37613">
            <w:pPr>
              <w:spacing w:line="30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、部分危险废物贮存场所未设置标识标牌；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、危险废物规范化管理台帐不完善，未装订成册；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未完成网上申报登记。</w:t>
            </w:r>
          </w:p>
        </w:tc>
      </w:tr>
      <w:tr w:rsidR="00A37613" w:rsidRPr="00EC37C8" w:rsidTr="00A37613">
        <w:trPr>
          <w:trHeight w:val="1415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株洲金瑞锌材有限责任公司</w:t>
            </w:r>
          </w:p>
        </w:tc>
        <w:tc>
          <w:tcPr>
            <w:tcW w:w="5386" w:type="dxa"/>
            <w:vAlign w:val="center"/>
          </w:tcPr>
          <w:p w:rsidR="00A37613" w:rsidRPr="003B48CC" w:rsidRDefault="00A37613" w:rsidP="00B06CC2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、未做好危险废物规范化管理台帐，未装订成册；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、转移联单有一枝笔现象；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、未编制应急预案、未进行应急演练。</w:t>
            </w:r>
          </w:p>
        </w:tc>
      </w:tr>
      <w:tr w:rsidR="00A37613" w:rsidRPr="00EC37C8" w:rsidTr="00A37613">
        <w:trPr>
          <w:trHeight w:val="412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株洲市金利亚环保科技有限公司</w:t>
            </w:r>
          </w:p>
        </w:tc>
        <w:tc>
          <w:tcPr>
            <w:tcW w:w="5386" w:type="dxa"/>
            <w:vAlign w:val="center"/>
          </w:tcPr>
          <w:p w:rsidR="00A37613" w:rsidRPr="003B48CC" w:rsidRDefault="00A37613" w:rsidP="00B06CC2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、未做好设施运行记录；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、飞灰产生台帐不完善；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、未完成危险废物规范化管理档案的整理归档；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、未及时进行危险废物申报登记和制订危险废物计划，并向环保部门备案。</w:t>
            </w:r>
          </w:p>
        </w:tc>
      </w:tr>
      <w:tr w:rsidR="00A37613" w:rsidRPr="00EC37C8" w:rsidTr="004850D2">
        <w:trPr>
          <w:trHeight w:val="1417"/>
        </w:trPr>
        <w:tc>
          <w:tcPr>
            <w:tcW w:w="705" w:type="dxa"/>
            <w:vAlign w:val="center"/>
          </w:tcPr>
          <w:p w:rsidR="00A37613" w:rsidRDefault="00A37613" w:rsidP="002B563D">
            <w:pPr>
              <w:snapToGrid w:val="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2664" w:type="dxa"/>
            <w:vAlign w:val="center"/>
          </w:tcPr>
          <w:p w:rsidR="00A37613" w:rsidRDefault="00A37613" w:rsidP="002B563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株洲天桥起重机股份有限公司</w:t>
            </w:r>
          </w:p>
        </w:tc>
        <w:tc>
          <w:tcPr>
            <w:tcW w:w="5386" w:type="dxa"/>
            <w:vAlign w:val="center"/>
          </w:tcPr>
          <w:p w:rsidR="00A37613" w:rsidRPr="003B48CC" w:rsidRDefault="00A37613" w:rsidP="002736B4"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、未做好危险废物规范化管理台帐，未装订成册；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、贮存场所不规范；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、现场有部分危废随意丢弃；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、未及时进行危险废物申报登记和制订危险废物计划，并向环保部门备案。</w:t>
            </w:r>
          </w:p>
        </w:tc>
      </w:tr>
    </w:tbl>
    <w:p w:rsidR="008227CD" w:rsidRPr="0064142A" w:rsidRDefault="008227CD" w:rsidP="004850D2">
      <w:pPr>
        <w:snapToGrid w:val="0"/>
        <w:spacing w:beforeLines="100" w:afterLines="50"/>
        <w:rPr>
          <w:rFonts w:ascii="仿宋" w:eastAsia="仿宋" w:hAnsi="仿宋"/>
          <w:sz w:val="28"/>
          <w:szCs w:val="28"/>
        </w:rPr>
      </w:pPr>
    </w:p>
    <w:sectPr w:rsidR="008227CD" w:rsidRPr="0064142A" w:rsidSect="00A37613">
      <w:footerReference w:type="even" r:id="rId8"/>
      <w:footerReference w:type="default" r:id="rId9"/>
      <w:footerReference w:type="first" r:id="rId10"/>
      <w:pgSz w:w="11906" w:h="16838" w:code="9"/>
      <w:pgMar w:top="1418" w:right="1701" w:bottom="1701" w:left="1560" w:header="851" w:footer="964" w:gutter="0"/>
      <w:pgNumType w:fmt="numberInDash" w:start="7"/>
      <w:cols w:space="425"/>
      <w:docGrid w:type="lines" w:linePitch="636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6C3" w:rsidRDefault="006656C3">
      <w:r>
        <w:separator/>
      </w:r>
    </w:p>
  </w:endnote>
  <w:endnote w:type="continuationSeparator" w:id="1">
    <w:p w:rsidR="006656C3" w:rsidRDefault="00665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631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B7296" w:rsidRDefault="000B7296" w:rsidP="00457231">
        <w:pPr>
          <w:pStyle w:val="a3"/>
        </w:pPr>
      </w:p>
      <w:p w:rsidR="00B06CC2" w:rsidRDefault="00AD0979" w:rsidP="00457231">
        <w:pPr>
          <w:pStyle w:val="a3"/>
        </w:pPr>
      </w:p>
    </w:sdtContent>
  </w:sdt>
  <w:p w:rsidR="00B06CC2" w:rsidRDefault="00B06C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631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06CC2" w:rsidRDefault="00AD0979">
        <w:pPr>
          <w:pStyle w:val="a3"/>
          <w:jc w:val="right"/>
        </w:pPr>
      </w:p>
    </w:sdtContent>
  </w:sdt>
  <w:p w:rsidR="00B06CC2" w:rsidRDefault="00B06CC2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9639" w:type="dxa"/>
      <w:jc w:val="center"/>
      <w:tblBorders>
        <w:top w:val="single" w:sz="6" w:space="0" w:color="FF0000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4A0"/>
    </w:tblPr>
    <w:tblGrid>
      <w:gridCol w:w="9639"/>
    </w:tblGrid>
    <w:tr w:rsidR="00B06CC2" w:rsidTr="00F37F4D">
      <w:trPr>
        <w:trHeight w:val="20"/>
        <w:jc w:val="center"/>
      </w:trPr>
      <w:tc>
        <w:tcPr>
          <w:tcW w:w="9639" w:type="dxa"/>
          <w:vAlign w:val="center"/>
        </w:tcPr>
        <w:p w:rsidR="00B06CC2" w:rsidRDefault="00B06CC2" w:rsidP="00BA595C">
          <w:pPr>
            <w:snapToGrid w:val="0"/>
            <w:spacing w:line="40" w:lineRule="exact"/>
            <w:jc w:val="center"/>
            <w:rPr>
              <w:rFonts w:ascii="仿宋" w:eastAsia="仿宋" w:hAnsi="仿宋"/>
              <w:szCs w:val="32"/>
            </w:rPr>
          </w:pPr>
        </w:p>
      </w:tc>
    </w:tr>
  </w:tbl>
  <w:p w:rsidR="00B06CC2" w:rsidRDefault="00B06CC2" w:rsidP="00B54E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6C3" w:rsidRDefault="006656C3">
      <w:r>
        <w:separator/>
      </w:r>
    </w:p>
  </w:footnote>
  <w:footnote w:type="continuationSeparator" w:id="1">
    <w:p w:rsidR="006656C3" w:rsidRDefault="00665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155D"/>
    <w:multiLevelType w:val="singleLevel"/>
    <w:tmpl w:val="58B9155D"/>
    <w:lvl w:ilvl="0">
      <w:start w:val="1"/>
      <w:numFmt w:val="decimal"/>
      <w:suff w:val="nothing"/>
      <w:lvlText w:val="%1、"/>
      <w:lvlJc w:val="left"/>
    </w:lvl>
  </w:abstractNum>
  <w:abstractNum w:abstractNumId="1">
    <w:nsid w:val="58B91597"/>
    <w:multiLevelType w:val="singleLevel"/>
    <w:tmpl w:val="58B91597"/>
    <w:lvl w:ilvl="0">
      <w:start w:val="1"/>
      <w:numFmt w:val="decimal"/>
      <w:suff w:val="nothing"/>
      <w:lvlText w:val="%1、"/>
      <w:lvlJc w:val="left"/>
    </w:lvl>
  </w:abstractNum>
  <w:abstractNum w:abstractNumId="2">
    <w:nsid w:val="58B91631"/>
    <w:multiLevelType w:val="singleLevel"/>
    <w:tmpl w:val="58B91631"/>
    <w:lvl w:ilvl="0">
      <w:start w:val="1"/>
      <w:numFmt w:val="decimal"/>
      <w:suff w:val="nothing"/>
      <w:lvlText w:val="%1、"/>
      <w:lvlJc w:val="left"/>
    </w:lvl>
  </w:abstractNum>
  <w:abstractNum w:abstractNumId="3">
    <w:nsid w:val="58B920F4"/>
    <w:multiLevelType w:val="singleLevel"/>
    <w:tmpl w:val="58B920F4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9"/>
  <w:drawingGridVerticalSpacing w:val="318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7CD"/>
    <w:rsid w:val="000018A4"/>
    <w:rsid w:val="00074E77"/>
    <w:rsid w:val="0008116F"/>
    <w:rsid w:val="00096CA7"/>
    <w:rsid w:val="000B7296"/>
    <w:rsid w:val="00113138"/>
    <w:rsid w:val="001165A4"/>
    <w:rsid w:val="00127DB4"/>
    <w:rsid w:val="0013611A"/>
    <w:rsid w:val="0015189C"/>
    <w:rsid w:val="001B72A6"/>
    <w:rsid w:val="00244FD4"/>
    <w:rsid w:val="00256213"/>
    <w:rsid w:val="002736B4"/>
    <w:rsid w:val="00274F99"/>
    <w:rsid w:val="0028055E"/>
    <w:rsid w:val="002B563D"/>
    <w:rsid w:val="0032353B"/>
    <w:rsid w:val="00344D90"/>
    <w:rsid w:val="003558AB"/>
    <w:rsid w:val="0036090C"/>
    <w:rsid w:val="003760A1"/>
    <w:rsid w:val="00391DE8"/>
    <w:rsid w:val="003A7105"/>
    <w:rsid w:val="003B48CC"/>
    <w:rsid w:val="003E0B92"/>
    <w:rsid w:val="003F1F5E"/>
    <w:rsid w:val="00437F51"/>
    <w:rsid w:val="00457231"/>
    <w:rsid w:val="004773FC"/>
    <w:rsid w:val="004850D2"/>
    <w:rsid w:val="004B2F2F"/>
    <w:rsid w:val="004C7089"/>
    <w:rsid w:val="00511DCC"/>
    <w:rsid w:val="00524CFA"/>
    <w:rsid w:val="00565A76"/>
    <w:rsid w:val="0058034D"/>
    <w:rsid w:val="00582F9F"/>
    <w:rsid w:val="005A2EC0"/>
    <w:rsid w:val="006100A2"/>
    <w:rsid w:val="00661170"/>
    <w:rsid w:val="006656C3"/>
    <w:rsid w:val="006A258D"/>
    <w:rsid w:val="006B5654"/>
    <w:rsid w:val="006B67E9"/>
    <w:rsid w:val="006E2544"/>
    <w:rsid w:val="00733D44"/>
    <w:rsid w:val="007519AE"/>
    <w:rsid w:val="007A344D"/>
    <w:rsid w:val="007B7838"/>
    <w:rsid w:val="00813A1A"/>
    <w:rsid w:val="008227CD"/>
    <w:rsid w:val="00871F77"/>
    <w:rsid w:val="00891764"/>
    <w:rsid w:val="008B44AA"/>
    <w:rsid w:val="008C3AEB"/>
    <w:rsid w:val="008D1B18"/>
    <w:rsid w:val="008F4EEE"/>
    <w:rsid w:val="009025E7"/>
    <w:rsid w:val="00916950"/>
    <w:rsid w:val="0092036D"/>
    <w:rsid w:val="0095573C"/>
    <w:rsid w:val="00980A26"/>
    <w:rsid w:val="00983F25"/>
    <w:rsid w:val="00986208"/>
    <w:rsid w:val="00986EC4"/>
    <w:rsid w:val="009E158F"/>
    <w:rsid w:val="009E3E73"/>
    <w:rsid w:val="00A27282"/>
    <w:rsid w:val="00A37613"/>
    <w:rsid w:val="00A644E7"/>
    <w:rsid w:val="00A75841"/>
    <w:rsid w:val="00A92D18"/>
    <w:rsid w:val="00AB5B59"/>
    <w:rsid w:val="00AC1A6C"/>
    <w:rsid w:val="00AC69AE"/>
    <w:rsid w:val="00AD0979"/>
    <w:rsid w:val="00AE46E1"/>
    <w:rsid w:val="00AF00F1"/>
    <w:rsid w:val="00AF1DDE"/>
    <w:rsid w:val="00B06CC2"/>
    <w:rsid w:val="00B21D70"/>
    <w:rsid w:val="00B414BE"/>
    <w:rsid w:val="00B51A8A"/>
    <w:rsid w:val="00B54EBE"/>
    <w:rsid w:val="00B73227"/>
    <w:rsid w:val="00B9472F"/>
    <w:rsid w:val="00BA595C"/>
    <w:rsid w:val="00BE3ECE"/>
    <w:rsid w:val="00BE6FDF"/>
    <w:rsid w:val="00C07A7E"/>
    <w:rsid w:val="00C12C4E"/>
    <w:rsid w:val="00C5168F"/>
    <w:rsid w:val="00C7116E"/>
    <w:rsid w:val="00C9724A"/>
    <w:rsid w:val="00CB405A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176D7"/>
    <w:rsid w:val="00E250DB"/>
    <w:rsid w:val="00E60D3C"/>
    <w:rsid w:val="00E63B66"/>
    <w:rsid w:val="00E67373"/>
    <w:rsid w:val="00EA095F"/>
    <w:rsid w:val="00EB6B56"/>
    <w:rsid w:val="00EC3255"/>
    <w:rsid w:val="00EC37C8"/>
    <w:rsid w:val="00EE13C7"/>
    <w:rsid w:val="00F0574B"/>
    <w:rsid w:val="00F35AC6"/>
    <w:rsid w:val="00F37F4D"/>
    <w:rsid w:val="00F47020"/>
    <w:rsid w:val="00F6394E"/>
    <w:rsid w:val="00F7783E"/>
    <w:rsid w:val="00FA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2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811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16F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D63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7A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2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811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16F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D63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01A0-5F90-4049-82DC-A2A5AEF1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394</Words>
  <Characters>2247</Characters>
  <Application>Microsoft Office Word</Application>
  <DocSecurity>0</DocSecurity>
  <Lines>18</Lines>
  <Paragraphs>5</Paragraphs>
  <ScaleCrop>false</ScaleCrop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陈炼</dc:creator>
  <cp:lastModifiedBy>edg</cp:lastModifiedBy>
  <cp:revision>21</cp:revision>
  <cp:lastPrinted>2017-04-26T00:53:00Z</cp:lastPrinted>
  <dcterms:created xsi:type="dcterms:W3CDTF">2017-03-19T11:47:00Z</dcterms:created>
  <dcterms:modified xsi:type="dcterms:W3CDTF">2017-04-26T00:54:00Z</dcterms:modified>
</cp:coreProperties>
</file>