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A6" w:rsidRDefault="004573A6" w:rsidP="004573A6">
      <w:pPr>
        <w:jc w:val="center"/>
        <w:rPr>
          <w:rFonts w:ascii="仿宋" w:eastAsia="仿宋" w:hAnsi="仿宋" w:cs="仿宋"/>
          <w:lang w:eastAsia="zh-CN"/>
        </w:rPr>
      </w:pPr>
      <w:r>
        <w:rPr>
          <w:rFonts w:ascii="仿宋" w:eastAsia="仿宋" w:hAnsi="仿宋" w:cs="仿宋" w:hint="eastAsia"/>
          <w:sz w:val="44"/>
          <w:szCs w:val="44"/>
          <w:lang w:eastAsia="zh-CN"/>
        </w:rPr>
        <w:t>2017权力清单</w:t>
      </w:r>
    </w:p>
    <w:p w:rsidR="004573A6" w:rsidRDefault="004573A6" w:rsidP="004573A6">
      <w:pPr>
        <w:jc w:val="both"/>
        <w:rPr>
          <w:rFonts w:ascii="仿宋" w:eastAsia="仿宋" w:hAnsi="仿宋" w:cs="仿宋"/>
          <w:lang w:eastAsia="zh-CN"/>
        </w:rPr>
      </w:pPr>
      <w:r>
        <w:rPr>
          <w:rFonts w:ascii="仿宋" w:eastAsia="仿宋" w:hAnsi="仿宋" w:cs="仿宋" w:hint="eastAsia"/>
          <w:lang w:eastAsia="zh-CN"/>
        </w:rPr>
        <w:t>1、部门行政权力清单</w:t>
      </w:r>
    </w:p>
    <w:p w:rsidR="004573A6" w:rsidRDefault="004573A6" w:rsidP="004573A6">
      <w:pPr>
        <w:rPr>
          <w:rFonts w:ascii="仿宋" w:eastAsia="仿宋" w:hAnsi="仿宋" w:cs="仿宋"/>
          <w:lang w:eastAsia="zh-CN"/>
        </w:rPr>
      </w:pPr>
      <w:r>
        <w:rPr>
          <w:rFonts w:ascii="仿宋" w:eastAsia="仿宋" w:hAnsi="仿宋" w:cs="仿宋" w:hint="eastAsia"/>
          <w:lang w:eastAsia="zh-CN"/>
        </w:rPr>
        <w:t>实施主体（公章）：攸县司法局                                                                                                                            负责人签字：贺明</w:t>
      </w:r>
    </w:p>
    <w:tbl>
      <w:tblPr>
        <w:tblW w:w="1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1260"/>
        <w:gridCol w:w="1980"/>
        <w:gridCol w:w="7201"/>
        <w:gridCol w:w="1259"/>
        <w:gridCol w:w="794"/>
      </w:tblGrid>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序号</w:t>
            </w:r>
          </w:p>
        </w:tc>
        <w:tc>
          <w:tcPr>
            <w:tcW w:w="126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行政权力类型</w:t>
            </w:r>
          </w:p>
        </w:tc>
        <w:tc>
          <w:tcPr>
            <w:tcW w:w="198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行政权力名称</w:t>
            </w:r>
          </w:p>
        </w:tc>
        <w:tc>
          <w:tcPr>
            <w:tcW w:w="7201"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法定依据</w:t>
            </w:r>
          </w:p>
        </w:tc>
        <w:tc>
          <w:tcPr>
            <w:tcW w:w="1259"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实施主体</w:t>
            </w:r>
          </w:p>
        </w:tc>
        <w:tc>
          <w:tcPr>
            <w:tcW w:w="794"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是否常用</w:t>
            </w: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一</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行政许可</w:t>
            </w:r>
          </w:p>
        </w:tc>
        <w:tc>
          <w:tcPr>
            <w:tcW w:w="198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共0 项</w:t>
            </w:r>
          </w:p>
        </w:tc>
        <w:tc>
          <w:tcPr>
            <w:tcW w:w="7201" w:type="dxa"/>
            <w:vAlign w:val="center"/>
          </w:tcPr>
          <w:p w:rsidR="004573A6" w:rsidRDefault="004573A6" w:rsidP="0081439B">
            <w:pPr>
              <w:jc w:val="both"/>
              <w:rPr>
                <w:rFonts w:ascii="仿宋" w:eastAsia="仿宋" w:hAnsi="仿宋" w:cs="仿宋"/>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b/>
                <w:bCs/>
              </w:rPr>
              <w:t>二</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行政强制</w:t>
            </w:r>
          </w:p>
        </w:tc>
        <w:tc>
          <w:tcPr>
            <w:tcW w:w="198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共0项</w:t>
            </w:r>
          </w:p>
        </w:tc>
        <w:tc>
          <w:tcPr>
            <w:tcW w:w="7201" w:type="dxa"/>
            <w:vAlign w:val="center"/>
          </w:tcPr>
          <w:p w:rsidR="004573A6" w:rsidRDefault="004573A6" w:rsidP="0081439B">
            <w:pPr>
              <w:rPr>
                <w:rFonts w:ascii="仿宋" w:eastAsia="仿宋" w:hAnsi="仿宋" w:cs="仿宋"/>
                <w:sz w:val="21"/>
                <w:szCs w:val="21"/>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三</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行政征收</w:t>
            </w:r>
          </w:p>
        </w:tc>
        <w:tc>
          <w:tcPr>
            <w:tcW w:w="198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共0项</w:t>
            </w:r>
          </w:p>
        </w:tc>
        <w:tc>
          <w:tcPr>
            <w:tcW w:w="7201" w:type="dxa"/>
            <w:vAlign w:val="center"/>
          </w:tcPr>
          <w:p w:rsidR="004573A6" w:rsidRDefault="004573A6" w:rsidP="0081439B">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四</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行政给付</w:t>
            </w:r>
          </w:p>
        </w:tc>
        <w:tc>
          <w:tcPr>
            <w:tcW w:w="198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共0项</w:t>
            </w:r>
          </w:p>
        </w:tc>
        <w:tc>
          <w:tcPr>
            <w:tcW w:w="7201" w:type="dxa"/>
            <w:vAlign w:val="center"/>
          </w:tcPr>
          <w:p w:rsidR="004573A6" w:rsidRDefault="004573A6" w:rsidP="0081439B">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五</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行政检查</w:t>
            </w:r>
          </w:p>
        </w:tc>
        <w:tc>
          <w:tcPr>
            <w:tcW w:w="198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共0项</w:t>
            </w:r>
          </w:p>
        </w:tc>
        <w:tc>
          <w:tcPr>
            <w:tcW w:w="7201" w:type="dxa"/>
            <w:vAlign w:val="center"/>
          </w:tcPr>
          <w:p w:rsidR="004573A6" w:rsidRDefault="004573A6" w:rsidP="0081439B">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六</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行政确认</w:t>
            </w:r>
          </w:p>
        </w:tc>
        <w:tc>
          <w:tcPr>
            <w:tcW w:w="1980" w:type="dxa"/>
            <w:vAlign w:val="center"/>
          </w:tcPr>
          <w:p w:rsidR="004573A6" w:rsidRDefault="004573A6" w:rsidP="0081439B">
            <w:pPr>
              <w:jc w:val="both"/>
              <w:rPr>
                <w:rFonts w:ascii="仿宋" w:eastAsia="仿宋" w:hAnsi="仿宋" w:cs="仿宋"/>
                <w:b/>
                <w:bCs/>
                <w:sz w:val="21"/>
                <w:szCs w:val="21"/>
              </w:rPr>
            </w:pPr>
            <w:r>
              <w:rPr>
                <w:rFonts w:ascii="仿宋" w:eastAsia="仿宋" w:hAnsi="仿宋" w:cs="仿宋" w:hint="eastAsia"/>
                <w:b/>
                <w:bCs/>
                <w:sz w:val="21"/>
                <w:szCs w:val="21"/>
              </w:rPr>
              <w:t>共0项</w:t>
            </w:r>
          </w:p>
        </w:tc>
        <w:tc>
          <w:tcPr>
            <w:tcW w:w="7201" w:type="dxa"/>
            <w:vAlign w:val="center"/>
          </w:tcPr>
          <w:p w:rsidR="004573A6" w:rsidRDefault="004573A6" w:rsidP="0081439B">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七</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行政奖励</w:t>
            </w:r>
          </w:p>
        </w:tc>
        <w:tc>
          <w:tcPr>
            <w:tcW w:w="1980" w:type="dxa"/>
            <w:vAlign w:val="center"/>
          </w:tcPr>
          <w:p w:rsidR="004573A6" w:rsidRDefault="004573A6" w:rsidP="0081439B">
            <w:pPr>
              <w:jc w:val="both"/>
              <w:rPr>
                <w:rFonts w:ascii="仿宋" w:eastAsia="仿宋" w:hAnsi="仿宋" w:cs="仿宋"/>
                <w:b/>
                <w:bCs/>
                <w:sz w:val="21"/>
                <w:szCs w:val="21"/>
              </w:rPr>
            </w:pPr>
            <w:r>
              <w:rPr>
                <w:rFonts w:ascii="仿宋" w:eastAsia="仿宋" w:hAnsi="仿宋" w:cs="仿宋" w:hint="eastAsia"/>
                <w:b/>
                <w:bCs/>
                <w:sz w:val="21"/>
                <w:szCs w:val="21"/>
              </w:rPr>
              <w:t>共3项</w:t>
            </w:r>
          </w:p>
        </w:tc>
        <w:tc>
          <w:tcPr>
            <w:tcW w:w="7201" w:type="dxa"/>
            <w:vAlign w:val="center"/>
          </w:tcPr>
          <w:p w:rsidR="004573A6" w:rsidRDefault="004573A6" w:rsidP="0081439B">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1</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行政奖励</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对优秀人民调解委员会和优秀人民调解员行政奖励</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(1)《人民调解若干规定》第四十一条“各级司法行政机关对于成绩显著、贡献突出的人民调解委员会和人民调解员，应当定期或者适时给予表彰和奖励。”</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二条“各级司法行政机关应当积极争取同级人民政府的支持，保障人民调解工作的指导和表彰经费；协调和督促村民委员会、居民委员会和企事业单位，落实人民调解委员会的工作经费和人民调解员的补贴经费。”</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(2)《人民调解委员会及调解员奖励办法》第二条“本办法规定的奖励适用于人民调解委员会、人民调解员。”</w:t>
            </w:r>
          </w:p>
          <w:p w:rsid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第七条“奖励的审批权限：地（市）、县级司法局（处）表彰的统称先进人民调解委员会和先进人民调解员，分别由地（市）、县级司法局（处）批准。</w:t>
            </w:r>
            <w:bookmarkStart w:id="0" w:name="#go7"/>
            <w:bookmarkEnd w:id="0"/>
            <w:r w:rsidRPr="004573A6">
              <w:rPr>
                <w:rFonts w:ascii="仿宋" w:eastAsia="仿宋" w:hAnsi="仿宋" w:cs="仿宋" w:hint="eastAsia"/>
                <w:sz w:val="21"/>
                <w:szCs w:val="21"/>
                <w:lang w:eastAsia="zh-CN"/>
              </w:rPr>
              <w:t>”</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2</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行政奖励</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对有突出事迹或者显著贡献的基层法</w:t>
            </w:r>
            <w:r w:rsidRPr="004573A6">
              <w:rPr>
                <w:rFonts w:ascii="仿宋" w:eastAsia="仿宋" w:hAnsi="仿宋" w:cs="仿宋" w:hint="eastAsia"/>
                <w:color w:val="000000"/>
                <w:sz w:val="21"/>
                <w:szCs w:val="21"/>
                <w:lang w:eastAsia="zh-CN"/>
              </w:rPr>
              <w:lastRenderedPageBreak/>
              <w:t>律服务工作者行政奖励</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lastRenderedPageBreak/>
              <w:t>《基层法律服务工作管理办法》第二十七条“基层法律业务所对年度考核被评为优秀或者在平时执业中有突出事迹或者显著贡献的基层法律业务工作</w:t>
            </w:r>
            <w:r w:rsidRPr="004573A6">
              <w:rPr>
                <w:rFonts w:ascii="仿宋" w:eastAsia="仿宋" w:hAnsi="仿宋" w:cs="仿宋" w:hint="eastAsia"/>
                <w:sz w:val="21"/>
                <w:szCs w:val="21"/>
                <w:lang w:eastAsia="zh-CN"/>
              </w:rPr>
              <w:lastRenderedPageBreak/>
              <w:t>者，应当给予奖励。奖励应当坚持精神鼓励与物质鼓励相结合的原则。</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对事迹特别突出的，可以同时报请司法行政机关给予表彰或者记功嘉奖。”</w:t>
            </w:r>
          </w:p>
          <w:p w:rsid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第五十四条“各级司法行政机关对有突出事迹或者显著贡献的基层法律服务工作者，应当定期或者适时给予表彰奖励。对事迹特别突出的，应当依照规定程序，报请省级司法行政机关或者司法部给予记功嘉奖。”</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3</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行政奖励</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对法律援助工作中作出突出贡献的组织和个人的奖励</w:t>
            </w:r>
          </w:p>
        </w:tc>
        <w:tc>
          <w:tcPr>
            <w:tcW w:w="7201" w:type="dxa"/>
            <w:vAlign w:val="center"/>
          </w:tcPr>
          <w:p w:rsid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《法律援助条例》第九条“对在法律援助工作中作出突出贡献的组织和个人，有关的人民政府、司法行政部门应当给予表彰、奖励。”</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t>八</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行政监督</w:t>
            </w:r>
          </w:p>
        </w:tc>
        <w:tc>
          <w:tcPr>
            <w:tcW w:w="1980" w:type="dxa"/>
            <w:vAlign w:val="center"/>
          </w:tcPr>
          <w:p w:rsidR="004573A6" w:rsidRDefault="004573A6" w:rsidP="0081439B">
            <w:pPr>
              <w:jc w:val="both"/>
              <w:rPr>
                <w:rFonts w:ascii="仿宋" w:eastAsia="仿宋" w:hAnsi="仿宋" w:cs="仿宋"/>
                <w:b/>
                <w:bCs/>
                <w:sz w:val="21"/>
                <w:szCs w:val="21"/>
              </w:rPr>
            </w:pPr>
            <w:r>
              <w:rPr>
                <w:rFonts w:ascii="仿宋" w:eastAsia="仿宋" w:hAnsi="仿宋" w:cs="仿宋" w:hint="eastAsia"/>
                <w:b/>
                <w:bCs/>
                <w:sz w:val="21"/>
                <w:szCs w:val="21"/>
              </w:rPr>
              <w:t>共7项</w:t>
            </w:r>
          </w:p>
        </w:tc>
        <w:tc>
          <w:tcPr>
            <w:tcW w:w="7201" w:type="dxa"/>
            <w:vAlign w:val="center"/>
          </w:tcPr>
          <w:p w:rsidR="004573A6" w:rsidRDefault="004573A6" w:rsidP="004573A6">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1</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Default="004573A6" w:rsidP="0081439B">
            <w:pPr>
              <w:rPr>
                <w:rFonts w:ascii="仿宋" w:eastAsia="仿宋" w:hAnsi="仿宋" w:cs="仿宋"/>
                <w:sz w:val="21"/>
                <w:szCs w:val="21"/>
                <w:lang w:eastAsia="zh-CN"/>
              </w:rPr>
            </w:pPr>
            <w:r w:rsidRPr="004573A6">
              <w:rPr>
                <w:rFonts w:ascii="仿宋" w:eastAsia="仿宋" w:hAnsi="仿宋" w:cs="仿宋" w:hint="eastAsia"/>
                <w:color w:val="000000"/>
                <w:sz w:val="21"/>
                <w:szCs w:val="21"/>
                <w:lang w:eastAsia="zh-CN"/>
              </w:rPr>
              <w:t>对律师和律师事务所的监督</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(1)《律师法》第四条“司法行政部门依照本法对律师、律师事务所和律师协会进行监督、指导。”</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(2)《律师执业管理办法》第五条第一款“司法行政机关依照《律师法》和本办法的规定对律师执业进行监督、指导。</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第四十三条“县级司法行政机关对其执业机构在本行政区域的律师的执业活动进行日常监督管理，履行下列职责：</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①检查、监督律师在执业活动中遵守法律、法规、规章和职业道德、执业纪律的情况；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②受理对律师的举报和投诉；</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③监督律师履行行政处罚和实行整改的情况；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④掌握律师事务所对律师执业年度考核的情况；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⑤司法部和省、自治区、直辖市司法行政机关规定的其他职责。</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r w:rsidRPr="004573A6">
              <w:rPr>
                <w:rFonts w:ascii="仿宋" w:eastAsia="仿宋" w:hAnsi="仿宋" w:cs="仿宋" w:hint="eastAsia"/>
                <w:sz w:val="21"/>
                <w:szCs w:val="21"/>
                <w:lang w:eastAsia="zh-CN"/>
              </w:rPr>
              <w:lastRenderedPageBreak/>
              <w:t>“</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第四十六条“各级司法行政机关及其工作人员对律师执业实施监督管理，不得妨碍律师依法执业，不得侵害律师的合法权益，不得索取或者收受律师的财物，不得谋取其他利益。”</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第四十七条“司法行政机关应当加强对实施律师执业许可和日常监督管理活动的层级监督，按照规定建立有关工作的统计、请示、报告、督办等制度。</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负责律师执业许可实施、律师执业年度考核结果备案或者奖励、处罚的司法行政机关，应当及时将有关许可决定、备案情况、奖惩情况通报下级司法行政机关，并报送上一级司法行政机关。”</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(3)《律师事务所管理办法》第四条第一款“司法行政机关依照《律师法》和本办法的规定对律师事务所进行监督、指导。”</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第四十六条“县级司法行政机关对本行政区域内的律师事务所的执业活动进行日常监督管理，履行下列职责：</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①监督律师事务所在开展业务活动过程中遵守法律、法规、规章的情况；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②监督律师事务所执业和内部管理制度的建立和实施情况；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③监督律师事务所保持法定设立条件以及变更报批或者备案的执行情况；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④监督律师事务所进行清算、申请注销的情况；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⑤监督律师事务所开展律师执业年度考核和上报年度执业总结的情况；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⑥受理对律师事务所的举报和投诉；</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⑦监督律师事务所履行行政处罚和实行整改的情况；</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⑧司法部和省、自治区、直辖市司法行政机关规定的其他职责。</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 xml:space="preserve">　　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第四十九条“各级司法行政机关及其工作人员对律师事务所实施监督管</w:t>
            </w:r>
            <w:r w:rsidRPr="004573A6">
              <w:rPr>
                <w:rFonts w:ascii="仿宋" w:eastAsia="仿宋" w:hAnsi="仿宋" w:cs="仿宋" w:hint="eastAsia"/>
                <w:sz w:val="21"/>
                <w:szCs w:val="21"/>
                <w:lang w:eastAsia="zh-CN"/>
              </w:rPr>
              <w:lastRenderedPageBreak/>
              <w:t>理，不得妨碍律师事务所依法执业，不得侵害律师事务所的合法权益，不得索取或者收受律师事务所及其律师的财物，不得谋取其他利益。”</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第五十条“司法行政机关应当加强对实施许可和管理活动的层级监督，按照规定建立有关工作的统计、请示、报告、督办等制度。</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负责律师事务所许可实施、年度检查考核或者奖励、处罚的司法行政机关，应当及时将有关许可决定、考核结果或者奖惩情况通报下级司法行政机关，并报送上一级司法行政机关。”</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(4)《律师事务所收费程序规则》第二十一条“律师事务所的收费行为，应当接受当地价格主管部门、司法行政机关的监督检查。”</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(5)《司法部关于律师担任政府法律顾问的若干规定》第十三条“司法行政机关对律师担任政府法律顾问工作，应当加强指导、管理和监督，对不适宜承担这项工作的律师，应当及时予以撤换。”</w:t>
            </w:r>
          </w:p>
          <w:p w:rsid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(6)《司法部关于律师担任企业法律顾问的若干规定》第十九条“司法行政机关应当加强律师担任企业法律顾问工作的指导、管理和监督。对担任企业法律顾问的律师，成绩突出的，予以表彰和奖励；不称职的应责成律师事务所予以调整；严重不称职，给聘用单位造成损失，或违反有关规定的，应当作出处理。”</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2</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对基层法律服务所和基层法律服务工作者的监督</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(1)《基层法律服务所管理办法》第五条“司法行政机关依照本办法对基层法律服务所进行管理和指导。”</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第四十条“基层法律服务所的日常执业活动和内部管理工作，由住所地的县级司法行政机关和所在乡镇、街道司法所负责指导和监督。</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县级司法行政机关和乡镇、街道司法所可以对基层法律服务所定期进行检查或者发现问题随时进行检查，可以要求基层法律服务所报告工作、说明情况、提交有关材料。基层法律服务所及其从业人员不得拒绝。”</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(2)《基层法律服务工作者管理办法》第四条“司法行政机关依照本办法对基层法律业务工作者进行管理和指导。”</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第五十三条“基层法律业务工作者的日常执业活动和遵守职业道德、执业纪律的情况，由所在地的县级司法行政机关和所在乡镇、街道司法所负责检查和监督。</w:t>
            </w:r>
          </w:p>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lastRenderedPageBreak/>
              <w:t>县级司法行政机关和乡镇、街道司法所可以对基层法律业务工作者的执业情况进行检查或者发现问题随时进行检查，可以要求有关人员报告工作、说明情况、提交有关材料。基层法律业务工作者及其所在的基层法律业务所不得拒绝。”</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3</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对于年度考核不合格或者严重违反本所章程及管理制度的律师处理结果的备案</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律师事务所管理办法》第四十一条第二款“对于年度考核不合格或者严重违反本所章程及管理制度的律师，律师事务所可以与其解除聘用关系或者经合伙人会议通过将其除名，有关处理结果报所在地县级司法行政机关和律师协会备案。”</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4</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对基层法律服务工作者年度考核的备案</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(1)《基层法律服务工作者管理办法》第二十六条“基层法律业务所应当建立对基层法律业务工作者执业实绩和遵守职业道德、执业纪律情况的年度考核制度。</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年度考核结果分为优秀、称职、基本称职、不称职四个等次。年度考核结果应当作为对基层法律业务工作者奖励、处分、辞退以及办理执业证年度注册的依据。</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年度考核结果，应当报住所地的县级司法行政机关备案。”</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5</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对基层法律服务工作者处分的备案</w:t>
            </w:r>
          </w:p>
        </w:tc>
        <w:tc>
          <w:tcPr>
            <w:tcW w:w="7201" w:type="dxa"/>
            <w:vAlign w:val="center"/>
          </w:tcPr>
          <w:p w:rsidR="004573A6" w:rsidRPr="004573A6" w:rsidRDefault="004573A6" w:rsidP="004573A6">
            <w:pPr>
              <w:rPr>
                <w:rFonts w:ascii="仿宋" w:eastAsia="仿宋" w:hAnsi="仿宋" w:cs="仿宋"/>
                <w:sz w:val="21"/>
                <w:szCs w:val="21"/>
                <w:lang w:eastAsia="zh-CN"/>
              </w:rPr>
            </w:pPr>
            <w:r w:rsidRPr="004573A6">
              <w:rPr>
                <w:rFonts w:ascii="仿宋" w:eastAsia="仿宋" w:hAnsi="仿宋" w:cs="仿宋" w:hint="eastAsia"/>
                <w:sz w:val="21"/>
                <w:szCs w:val="21"/>
                <w:lang w:eastAsia="zh-CN"/>
              </w:rPr>
              <w:t>(1)《基层法律服务工作者管理办法》第二十八条“基层法律业务所对基层法律业务工作者违反职业道德和执业纪律，违反司法行政机关管理规定和本所章程、制度的行为或者其他违法行为，应当根据其情节轻重，按照责罚相当的原则，给予处分。</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w:t>
            </w:r>
            <w:r w:rsidRPr="004573A6">
              <w:rPr>
                <w:rFonts w:ascii="仿宋" w:eastAsia="仿宋" w:hAnsi="仿宋" w:cs="仿宋" w:hint="eastAsia"/>
                <w:sz w:val="21"/>
                <w:szCs w:val="21"/>
                <w:lang w:eastAsia="zh-CN"/>
              </w:rPr>
              <w:t xml:space="preserve"> 处分分为：警告、记过、撤职、留所察看、开除。</w:t>
            </w:r>
          </w:p>
          <w:p w:rsidR="004573A6" w:rsidRPr="004573A6" w:rsidRDefault="004573A6" w:rsidP="004573A6">
            <w:pPr>
              <w:rPr>
                <w:rFonts w:ascii="仿宋" w:eastAsia="仿宋" w:hAnsi="仿宋" w:cs="仿宋"/>
                <w:sz w:val="21"/>
                <w:szCs w:val="21"/>
                <w:lang w:eastAsia="zh-CN"/>
              </w:rPr>
            </w:pPr>
            <w:r>
              <w:rPr>
                <w:rFonts w:ascii="仿宋" w:eastAsia="仿宋" w:hAnsi="仿宋" w:cs="仿宋" w:hint="eastAsia"/>
                <w:sz w:val="21"/>
                <w:szCs w:val="21"/>
                <w:lang w:eastAsia="zh-CN"/>
              </w:rPr>
              <w:t xml:space="preserve">  </w:t>
            </w:r>
            <w:r w:rsidRPr="004573A6">
              <w:rPr>
                <w:rFonts w:ascii="仿宋" w:eastAsia="仿宋" w:hAnsi="仿宋" w:cs="仿宋" w:hint="eastAsia"/>
                <w:sz w:val="21"/>
                <w:szCs w:val="21"/>
                <w:lang w:eastAsia="zh-CN"/>
              </w:rPr>
              <w:t>实施处分，由基层法律业务所主任建议，或者本所半数以上基层法律业务工作者提议，由本所所务会议审议决定，并报住所地的县级司法行政机关备案。给予开除处分的，应当按规定程序办理执业注销。</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6</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对公证机构、公证员的监管</w:t>
            </w:r>
          </w:p>
        </w:tc>
        <w:tc>
          <w:tcPr>
            <w:tcW w:w="7201" w:type="dxa"/>
            <w:vAlign w:val="center"/>
          </w:tcPr>
          <w:p w:rsidR="004573A6" w:rsidRPr="004573A6" w:rsidRDefault="004573A6" w:rsidP="004573A6">
            <w:pPr>
              <w:ind w:firstLineChars="100" w:firstLine="210"/>
              <w:rPr>
                <w:rFonts w:ascii="仿宋" w:eastAsia="仿宋" w:hAnsi="仿宋" w:cs="仿宋"/>
                <w:sz w:val="21"/>
                <w:szCs w:val="21"/>
                <w:lang w:eastAsia="zh-CN"/>
              </w:rPr>
            </w:pPr>
            <w:r w:rsidRPr="004573A6">
              <w:rPr>
                <w:rFonts w:ascii="仿宋" w:eastAsia="仿宋" w:hAnsi="仿宋" w:cs="仿宋" w:hint="eastAsia"/>
                <w:sz w:val="21"/>
                <w:szCs w:val="21"/>
                <w:lang w:eastAsia="zh-CN"/>
              </w:rPr>
              <w:t>《公证法》第五条　司法行政部门依照本法规定对公证机构、公证员进行监督、指导。</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7</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行政监督</w:t>
            </w:r>
          </w:p>
        </w:tc>
        <w:tc>
          <w:tcPr>
            <w:tcW w:w="1980" w:type="dxa"/>
            <w:vAlign w:val="center"/>
          </w:tcPr>
          <w:p w:rsidR="004573A6" w:rsidRPr="004573A6" w:rsidRDefault="004573A6" w:rsidP="0081439B">
            <w:pPr>
              <w:rPr>
                <w:rFonts w:ascii="仿宋" w:eastAsia="仿宋" w:hAnsi="仿宋" w:cs="仿宋"/>
                <w:color w:val="000000"/>
                <w:sz w:val="21"/>
                <w:szCs w:val="21"/>
                <w:lang w:eastAsia="zh-CN"/>
              </w:rPr>
            </w:pPr>
            <w:r w:rsidRPr="004573A6">
              <w:rPr>
                <w:rFonts w:ascii="仿宋" w:eastAsia="仿宋" w:hAnsi="仿宋" w:cs="仿宋" w:hint="eastAsia"/>
                <w:color w:val="000000"/>
                <w:sz w:val="21"/>
                <w:szCs w:val="21"/>
                <w:lang w:eastAsia="zh-CN"/>
              </w:rPr>
              <w:t>基层法律服务工作者年度注册审查</w:t>
            </w:r>
          </w:p>
        </w:tc>
        <w:tc>
          <w:tcPr>
            <w:tcW w:w="7201" w:type="dxa"/>
            <w:vAlign w:val="center"/>
          </w:tcPr>
          <w:p w:rsidR="004573A6" w:rsidRPr="004573A6" w:rsidRDefault="004573A6" w:rsidP="004573A6">
            <w:pPr>
              <w:ind w:firstLineChars="100" w:firstLine="210"/>
              <w:rPr>
                <w:rFonts w:ascii="仿宋" w:eastAsia="仿宋" w:hAnsi="仿宋" w:cs="仿宋"/>
                <w:sz w:val="21"/>
                <w:szCs w:val="21"/>
                <w:lang w:eastAsia="zh-CN"/>
              </w:rPr>
            </w:pPr>
            <w:r w:rsidRPr="004573A6">
              <w:rPr>
                <w:rFonts w:ascii="仿宋" w:eastAsia="仿宋" w:hAnsi="仿宋" w:cs="仿宋" w:hint="eastAsia"/>
                <w:sz w:val="21"/>
                <w:szCs w:val="21"/>
                <w:lang w:eastAsia="zh-CN"/>
              </w:rPr>
              <w:t>《基层法律服务工作者管理办法》第四十九条“基层法律业务工作者申请执业证年度注册的材料，由其所在的基层法律业务所按规定的时间上报住所地的县级司法行政机关审查，由其出具审查意见后逐级上报注册机关。”</w:t>
            </w:r>
          </w:p>
          <w:p w:rsidR="004573A6" w:rsidRPr="004573A6" w:rsidRDefault="004573A6" w:rsidP="004573A6">
            <w:pPr>
              <w:ind w:firstLineChars="100" w:firstLine="210"/>
              <w:rPr>
                <w:rFonts w:ascii="仿宋" w:eastAsia="仿宋" w:hAnsi="仿宋" w:cs="仿宋"/>
                <w:sz w:val="21"/>
                <w:szCs w:val="21"/>
                <w:lang w:eastAsia="zh-CN"/>
              </w:rPr>
            </w:pPr>
            <w:r w:rsidRPr="004573A6">
              <w:rPr>
                <w:rFonts w:ascii="仿宋" w:eastAsia="仿宋" w:hAnsi="仿宋" w:cs="仿宋" w:hint="eastAsia"/>
                <w:sz w:val="21"/>
                <w:szCs w:val="21"/>
                <w:lang w:eastAsia="zh-CN"/>
              </w:rPr>
              <w:lastRenderedPageBreak/>
              <w:t>第五十二条“基层法律业务工作者被暂缓办理执业证年度注册的因素消除后，对于符合继续执业条件的，经住所地的县级司法行政机关审查同意，报请注册机关补办执业证年度注册。”</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lastRenderedPageBreak/>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b/>
                <w:bCs/>
              </w:rPr>
            </w:pPr>
            <w:r>
              <w:rPr>
                <w:rFonts w:ascii="仿宋" w:eastAsia="仿宋" w:hAnsi="仿宋" w:cs="仿宋" w:hint="eastAsia"/>
                <w:b/>
                <w:bCs/>
              </w:rPr>
              <w:lastRenderedPageBreak/>
              <w:t>九</w:t>
            </w:r>
          </w:p>
        </w:tc>
        <w:tc>
          <w:tcPr>
            <w:tcW w:w="1260" w:type="dxa"/>
            <w:vAlign w:val="center"/>
          </w:tcPr>
          <w:p w:rsidR="004573A6" w:rsidRDefault="004573A6" w:rsidP="0081439B">
            <w:pPr>
              <w:jc w:val="both"/>
              <w:rPr>
                <w:rFonts w:ascii="仿宋" w:eastAsia="仿宋" w:hAnsi="仿宋" w:cs="仿宋"/>
                <w:b/>
                <w:bCs/>
              </w:rPr>
            </w:pPr>
            <w:r>
              <w:rPr>
                <w:rFonts w:ascii="仿宋" w:eastAsia="仿宋" w:hAnsi="仿宋" w:cs="仿宋" w:hint="eastAsia"/>
                <w:b/>
                <w:bCs/>
              </w:rPr>
              <w:t>其他行政权力</w:t>
            </w:r>
          </w:p>
        </w:tc>
        <w:tc>
          <w:tcPr>
            <w:tcW w:w="1980" w:type="dxa"/>
            <w:vAlign w:val="center"/>
          </w:tcPr>
          <w:p w:rsidR="004573A6" w:rsidRDefault="004573A6" w:rsidP="0081439B">
            <w:pPr>
              <w:rPr>
                <w:rFonts w:ascii="仿宋" w:eastAsia="仿宋" w:hAnsi="仿宋" w:cs="仿宋"/>
                <w:b/>
                <w:bCs/>
                <w:color w:val="000000"/>
                <w:spacing w:val="44"/>
                <w:sz w:val="21"/>
                <w:szCs w:val="21"/>
              </w:rPr>
            </w:pPr>
            <w:r>
              <w:rPr>
                <w:rFonts w:ascii="仿宋" w:eastAsia="仿宋" w:hAnsi="仿宋" w:cs="仿宋" w:hint="eastAsia"/>
                <w:b/>
                <w:bCs/>
                <w:color w:val="000000"/>
                <w:spacing w:val="44"/>
                <w:sz w:val="21"/>
                <w:szCs w:val="21"/>
              </w:rPr>
              <w:t>共4项</w:t>
            </w:r>
          </w:p>
        </w:tc>
        <w:tc>
          <w:tcPr>
            <w:tcW w:w="7201" w:type="dxa"/>
            <w:vAlign w:val="center"/>
          </w:tcPr>
          <w:p w:rsidR="004573A6" w:rsidRPr="004573A6" w:rsidRDefault="004573A6" w:rsidP="004573A6">
            <w:pPr>
              <w:rPr>
                <w:rFonts w:ascii="仿宋" w:eastAsia="仿宋" w:hAnsi="仿宋" w:cs="仿宋"/>
                <w:sz w:val="21"/>
                <w:szCs w:val="21"/>
                <w:lang w:eastAsia="zh-CN"/>
              </w:rPr>
            </w:pPr>
          </w:p>
        </w:tc>
        <w:tc>
          <w:tcPr>
            <w:tcW w:w="1259" w:type="dxa"/>
            <w:vAlign w:val="center"/>
          </w:tcPr>
          <w:p w:rsidR="004573A6" w:rsidRDefault="004573A6" w:rsidP="0081439B">
            <w:pPr>
              <w:jc w:val="center"/>
              <w:rPr>
                <w:rFonts w:ascii="仿宋" w:eastAsia="仿宋" w:hAnsi="仿宋" w:cs="仿宋"/>
              </w:rPr>
            </w:pPr>
          </w:p>
        </w:tc>
        <w:tc>
          <w:tcPr>
            <w:tcW w:w="794" w:type="dxa"/>
            <w:vAlign w:val="center"/>
          </w:tcPr>
          <w:p w:rsidR="004573A6" w:rsidRDefault="004573A6" w:rsidP="0081439B">
            <w:pPr>
              <w:jc w:val="center"/>
              <w:rPr>
                <w:rFonts w:ascii="仿宋" w:eastAsia="仿宋" w:hAnsi="仿宋" w:cs="仿宋"/>
              </w:rPr>
            </w:pP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1</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其他行政权力</w:t>
            </w:r>
          </w:p>
        </w:tc>
        <w:tc>
          <w:tcPr>
            <w:tcW w:w="1980" w:type="dxa"/>
            <w:vAlign w:val="center"/>
          </w:tcPr>
          <w:p w:rsidR="004573A6" w:rsidRDefault="004573A6" w:rsidP="0081439B">
            <w:pPr>
              <w:rPr>
                <w:rFonts w:ascii="仿宋" w:eastAsia="仿宋" w:hAnsi="仿宋" w:cs="仿宋"/>
                <w:color w:val="000000"/>
                <w:spacing w:val="44"/>
                <w:sz w:val="21"/>
                <w:szCs w:val="21"/>
                <w:lang w:eastAsia="zh-CN"/>
              </w:rPr>
            </w:pPr>
            <w:r>
              <w:rPr>
                <w:rFonts w:ascii="仿宋" w:eastAsia="仿宋" w:hAnsi="仿宋" w:cs="仿宋" w:hint="eastAsia"/>
                <w:color w:val="000000"/>
                <w:sz w:val="21"/>
                <w:szCs w:val="21"/>
                <w:lang w:eastAsia="zh-CN"/>
              </w:rPr>
              <w:t>收回《法律服务工作者执业证》</w:t>
            </w:r>
          </w:p>
        </w:tc>
        <w:tc>
          <w:tcPr>
            <w:tcW w:w="7201" w:type="dxa"/>
            <w:vAlign w:val="center"/>
          </w:tcPr>
          <w:p w:rsidR="004573A6" w:rsidRDefault="004573A6" w:rsidP="004573A6">
            <w:pPr>
              <w:ind w:firstLineChars="100" w:firstLine="210"/>
              <w:rPr>
                <w:rFonts w:ascii="仿宋" w:eastAsia="仿宋" w:hAnsi="仿宋" w:cs="仿宋" w:hint="eastAsia"/>
                <w:sz w:val="21"/>
                <w:szCs w:val="21"/>
                <w:lang w:eastAsia="zh-CN"/>
              </w:rPr>
            </w:pPr>
            <w:r>
              <w:rPr>
                <w:rFonts w:ascii="仿宋" w:eastAsia="仿宋" w:hAnsi="仿宋" w:cs="仿宋" w:hint="eastAsia"/>
                <w:sz w:val="21"/>
                <w:szCs w:val="21"/>
                <w:lang w:eastAsia="zh-CN"/>
              </w:rPr>
              <w:t xml:space="preserve">《基层法律服务所管理办法》（司法部令第59号）第二十五条第三款：基层法律服务工作者调离、辞职或被辞退、开除的，由县级司法行政机关收回其《法律服务工作者执业证》，报请原执业登记机关予以注销。    </w:t>
            </w:r>
          </w:p>
          <w:p w:rsidR="004573A6" w:rsidRDefault="004573A6" w:rsidP="004573A6">
            <w:pPr>
              <w:ind w:firstLineChars="100" w:firstLine="210"/>
              <w:rPr>
                <w:rFonts w:ascii="仿宋" w:eastAsia="仿宋" w:hAnsi="仿宋" w:cs="仿宋"/>
                <w:spacing w:val="44"/>
                <w:sz w:val="21"/>
                <w:szCs w:val="21"/>
                <w:lang w:eastAsia="zh-CN"/>
              </w:rPr>
            </w:pPr>
            <w:r>
              <w:rPr>
                <w:rFonts w:ascii="仿宋" w:eastAsia="仿宋" w:hAnsi="仿宋" w:cs="仿宋" w:hint="eastAsia"/>
                <w:sz w:val="21"/>
                <w:szCs w:val="21"/>
                <w:lang w:eastAsia="zh-CN"/>
              </w:rPr>
              <w:t>《基层法律服务工作者管理办法》（司法部令第60号）第二十一条：基层法律服务工作者遇有下列情形之一的，由所在地的县级司法行政机关收回其    《法律服务工作者执业证》，报请执业登记机关予以执业注销。</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2</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其他行政权力</w:t>
            </w:r>
          </w:p>
        </w:tc>
        <w:tc>
          <w:tcPr>
            <w:tcW w:w="1980" w:type="dxa"/>
            <w:vAlign w:val="center"/>
          </w:tcPr>
          <w:p w:rsidR="004573A6" w:rsidRDefault="004573A6" w:rsidP="0081439B">
            <w:pP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补发或更换《法律服务工作者执业证》</w:t>
            </w:r>
          </w:p>
        </w:tc>
        <w:tc>
          <w:tcPr>
            <w:tcW w:w="7201" w:type="dxa"/>
            <w:vAlign w:val="center"/>
          </w:tcPr>
          <w:p w:rsidR="004573A6" w:rsidRDefault="004573A6" w:rsidP="004573A6">
            <w:pPr>
              <w:ind w:leftChars="44" w:left="106"/>
              <w:rPr>
                <w:rFonts w:ascii="仿宋" w:eastAsia="仿宋" w:hAnsi="仿宋" w:cs="仿宋"/>
                <w:sz w:val="21"/>
                <w:szCs w:val="21"/>
                <w:lang w:eastAsia="zh-CN"/>
              </w:rPr>
            </w:pPr>
            <w:r>
              <w:rPr>
                <w:rFonts w:ascii="仿宋" w:eastAsia="仿宋" w:hAnsi="仿宋" w:cs="仿宋" w:hint="eastAsia"/>
                <w:sz w:val="21"/>
                <w:szCs w:val="21"/>
                <w:lang w:eastAsia="zh-CN"/>
              </w:rPr>
              <w:t>《基层法律服务工作者管理办法》（司法部令第60号）第二十二条第二款：《法律服务工作者执业证》遗失或者损坏无法使用的，持证人应当立即向所在地的县级司法行政机关申请办理补发或更换手续。</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3</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其他行政权力</w:t>
            </w:r>
          </w:p>
        </w:tc>
        <w:tc>
          <w:tcPr>
            <w:tcW w:w="1980" w:type="dxa"/>
            <w:vAlign w:val="center"/>
          </w:tcPr>
          <w:p w:rsidR="004573A6" w:rsidRDefault="004573A6" w:rsidP="0081439B">
            <w:pP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受理基层法律服务工作者对基层法律服务所作出处分决定不服或侵犯其合法权益提出申诉或者控告</w:t>
            </w:r>
          </w:p>
        </w:tc>
        <w:tc>
          <w:tcPr>
            <w:tcW w:w="7201" w:type="dxa"/>
            <w:vAlign w:val="center"/>
          </w:tcPr>
          <w:p w:rsidR="004573A6" w:rsidRDefault="004573A6" w:rsidP="004573A6">
            <w:pPr>
              <w:ind w:firstLineChars="100" w:firstLine="210"/>
              <w:rPr>
                <w:rFonts w:ascii="仿宋" w:eastAsia="仿宋" w:hAnsi="仿宋" w:cs="仿宋"/>
                <w:sz w:val="21"/>
                <w:szCs w:val="21"/>
                <w:lang w:eastAsia="zh-CN"/>
              </w:rPr>
            </w:pPr>
            <w:r>
              <w:rPr>
                <w:rFonts w:ascii="仿宋" w:eastAsia="仿宋" w:hAnsi="仿宋" w:cs="仿宋" w:hint="eastAsia"/>
                <w:sz w:val="21"/>
                <w:szCs w:val="21"/>
                <w:lang w:eastAsia="zh-CN"/>
              </w:rPr>
              <w:t>《基层法律服务工作者管理办法》（司法部令第60号）第三十一条第二款：基层法律服务工作者对基层法律服务所作出涉及本人的处分、人事处理决定不服的，对基层法律服务所损害或者侵犯本人合法权益的，可以向所在地的县级或者县级以上的司法行政机关申诉或者控告。接到申诉或者控告的司法行政机关应当受理，对经查证确属基层法律服务所处理错误、不当的或者侵权事实成立的，应当责令该所予以纠正。</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r w:rsidR="004573A6" w:rsidTr="0081439B">
        <w:tc>
          <w:tcPr>
            <w:tcW w:w="500" w:type="dxa"/>
            <w:vAlign w:val="center"/>
          </w:tcPr>
          <w:p w:rsidR="004573A6" w:rsidRDefault="004573A6" w:rsidP="0081439B">
            <w:pPr>
              <w:jc w:val="center"/>
              <w:rPr>
                <w:rFonts w:ascii="仿宋" w:eastAsia="仿宋" w:hAnsi="仿宋" w:cs="仿宋"/>
              </w:rPr>
            </w:pPr>
            <w:r>
              <w:rPr>
                <w:rFonts w:ascii="仿宋" w:eastAsia="仿宋" w:hAnsi="仿宋" w:cs="仿宋" w:hint="eastAsia"/>
              </w:rPr>
              <w:t>4</w:t>
            </w:r>
          </w:p>
        </w:tc>
        <w:tc>
          <w:tcPr>
            <w:tcW w:w="1260" w:type="dxa"/>
            <w:vAlign w:val="center"/>
          </w:tcPr>
          <w:p w:rsidR="004573A6" w:rsidRDefault="004573A6" w:rsidP="0081439B">
            <w:pPr>
              <w:jc w:val="both"/>
              <w:rPr>
                <w:rFonts w:ascii="仿宋" w:eastAsia="仿宋" w:hAnsi="仿宋" w:cs="仿宋"/>
              </w:rPr>
            </w:pPr>
            <w:r>
              <w:rPr>
                <w:rFonts w:ascii="仿宋" w:eastAsia="仿宋" w:hAnsi="仿宋" w:cs="仿宋" w:hint="eastAsia"/>
              </w:rPr>
              <w:t>其他行政权力</w:t>
            </w:r>
          </w:p>
        </w:tc>
        <w:tc>
          <w:tcPr>
            <w:tcW w:w="1980" w:type="dxa"/>
            <w:vAlign w:val="center"/>
          </w:tcPr>
          <w:p w:rsidR="004573A6" w:rsidRDefault="004573A6" w:rsidP="0081439B">
            <w:pP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缴存公证机构停业整顿期间执业证书</w:t>
            </w:r>
          </w:p>
        </w:tc>
        <w:tc>
          <w:tcPr>
            <w:tcW w:w="7201" w:type="dxa"/>
            <w:vAlign w:val="center"/>
          </w:tcPr>
          <w:p w:rsidR="004573A6" w:rsidRDefault="004573A6" w:rsidP="004573A6">
            <w:pPr>
              <w:ind w:firstLineChars="50" w:firstLine="105"/>
              <w:rPr>
                <w:rFonts w:ascii="仿宋" w:eastAsia="仿宋" w:hAnsi="仿宋" w:cs="仿宋"/>
                <w:sz w:val="21"/>
                <w:szCs w:val="21"/>
                <w:lang w:eastAsia="zh-CN"/>
              </w:rPr>
            </w:pPr>
            <w:r>
              <w:rPr>
                <w:rFonts w:ascii="仿宋" w:eastAsia="仿宋" w:hAnsi="仿宋" w:cs="仿宋" w:hint="eastAsia"/>
                <w:sz w:val="21"/>
                <w:szCs w:val="21"/>
                <w:lang w:eastAsia="zh-CN"/>
              </w:rPr>
              <w:t>《公证机构执业管理办法》（司法部令第101号）第二十三条第二款：公证机构受到停业整顿处罚的，停业整顿期间，应当将该公证机构执业证书缴存所在地司法行政机关。</w:t>
            </w:r>
          </w:p>
        </w:tc>
        <w:tc>
          <w:tcPr>
            <w:tcW w:w="1259" w:type="dxa"/>
            <w:vAlign w:val="center"/>
          </w:tcPr>
          <w:p w:rsidR="004573A6" w:rsidRDefault="004573A6" w:rsidP="0081439B">
            <w:pPr>
              <w:jc w:val="center"/>
              <w:rPr>
                <w:rFonts w:ascii="仿宋" w:eastAsia="仿宋" w:hAnsi="仿宋" w:cs="仿宋"/>
              </w:rPr>
            </w:pPr>
            <w:r>
              <w:rPr>
                <w:rFonts w:ascii="仿宋" w:eastAsia="仿宋" w:hAnsi="仿宋" w:cs="仿宋" w:hint="eastAsia"/>
              </w:rPr>
              <w:t>县司法局</w:t>
            </w:r>
          </w:p>
        </w:tc>
        <w:tc>
          <w:tcPr>
            <w:tcW w:w="794" w:type="dxa"/>
            <w:vAlign w:val="center"/>
          </w:tcPr>
          <w:p w:rsidR="004573A6" w:rsidRDefault="004573A6" w:rsidP="0081439B">
            <w:pPr>
              <w:jc w:val="center"/>
              <w:rPr>
                <w:rFonts w:ascii="仿宋" w:eastAsia="仿宋" w:hAnsi="仿宋" w:cs="仿宋"/>
              </w:rPr>
            </w:pPr>
            <w:r>
              <w:rPr>
                <w:rFonts w:ascii="仿宋" w:eastAsia="仿宋" w:hAnsi="仿宋" w:cs="仿宋" w:hint="eastAsia"/>
              </w:rPr>
              <w:t>否</w:t>
            </w:r>
          </w:p>
        </w:tc>
      </w:tr>
    </w:tbl>
    <w:p w:rsidR="004573A6" w:rsidRDefault="004573A6" w:rsidP="004573A6">
      <w:pPr>
        <w:rPr>
          <w:rFonts w:ascii="仿宋" w:eastAsia="仿宋" w:hAnsi="仿宋" w:cs="仿宋"/>
          <w:lang w:eastAsia="zh-CN"/>
        </w:rPr>
      </w:pPr>
      <w:r>
        <w:rPr>
          <w:rFonts w:ascii="仿宋" w:eastAsia="仿宋" w:hAnsi="仿宋" w:cs="仿宋" w:hint="eastAsia"/>
          <w:lang w:eastAsia="zh-CN"/>
        </w:rPr>
        <w:t>填表联系人：刘永康                                                                                                 联系电话：17752799748</w:t>
      </w:r>
    </w:p>
    <w:p w:rsidR="004573A6" w:rsidRDefault="004573A6" w:rsidP="004573A6">
      <w:pPr>
        <w:jc w:val="both"/>
        <w:rPr>
          <w:rFonts w:ascii="仿宋" w:eastAsia="仿宋" w:hAnsi="仿宋" w:cs="仿宋"/>
          <w:lang w:eastAsia="zh-CN"/>
        </w:rPr>
      </w:pPr>
      <w:bookmarkStart w:id="1" w:name="_GoBack"/>
      <w:bookmarkEnd w:id="1"/>
    </w:p>
    <w:p w:rsidR="002213A2" w:rsidRDefault="002213A2">
      <w:pPr>
        <w:rPr>
          <w:lang w:eastAsia="zh-CN"/>
        </w:rPr>
      </w:pPr>
    </w:p>
    <w:sectPr w:rsidR="002213A2" w:rsidSect="00C80C9C">
      <w:footerReference w:type="even" r:id="rId6"/>
      <w:footerReference w:type="default" r:id="rId7"/>
      <w:pgSz w:w="15842" w:h="12242" w:orient="landscape"/>
      <w:pgMar w:top="2098" w:right="1474" w:bottom="1985" w:left="158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3A2" w:rsidRDefault="002213A2" w:rsidP="004573A6">
      <w:r>
        <w:separator/>
      </w:r>
    </w:p>
  </w:endnote>
  <w:endnote w:type="continuationSeparator" w:id="1">
    <w:p w:rsidR="002213A2" w:rsidRDefault="002213A2" w:rsidP="00457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9C" w:rsidRDefault="002213A2">
    <w:pPr>
      <w:pStyle w:val="a4"/>
      <w:framePr w:wrap="around" w:vAnchor="text" w:hAnchor="margin" w:xAlign="right" w:y="1"/>
    </w:pPr>
    <w:r>
      <w:rPr>
        <w:rStyle w:val="a5"/>
      </w:rPr>
      <w:fldChar w:fldCharType="begin"/>
    </w:r>
    <w:r>
      <w:rPr>
        <w:rStyle w:val="a5"/>
      </w:rPr>
      <w:instrText>Page</w:instrText>
    </w:r>
    <w:r>
      <w:rPr>
        <w:rStyle w:val="a5"/>
      </w:rPr>
      <w:fldChar w:fldCharType="separate"/>
    </w:r>
    <w:r>
      <w:rPr>
        <w:rStyle w:val="a5"/>
      </w:rPr>
      <w:t>- 1 -</w:t>
    </w:r>
    <w:r>
      <w:rPr>
        <w:rStyle w:val="a5"/>
      </w:rPr>
      <w:fldChar w:fldCharType="end"/>
    </w:r>
  </w:p>
  <w:p w:rsidR="00C80C9C" w:rsidRDefault="002213A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9C" w:rsidRDefault="002213A2">
    <w:pPr>
      <w:pStyle w:val="a4"/>
      <w:framePr w:wrap="around" w:vAnchor="text" w:hAnchor="margin" w:xAlign="right" w:y="1"/>
    </w:pPr>
    <w:r>
      <w:rPr>
        <w:rStyle w:val="a5"/>
      </w:rPr>
      <w:fldChar w:fldCharType="begin"/>
    </w:r>
    <w:r>
      <w:rPr>
        <w:rStyle w:val="a5"/>
      </w:rPr>
      <w:instrText>Page</w:instrText>
    </w:r>
    <w:r>
      <w:rPr>
        <w:rStyle w:val="a5"/>
      </w:rPr>
      <w:fldChar w:fldCharType="separate"/>
    </w:r>
    <w:r w:rsidR="004573A6">
      <w:rPr>
        <w:rStyle w:val="a5"/>
        <w:noProof/>
      </w:rPr>
      <w:t>- 6 -</w:t>
    </w:r>
    <w:r>
      <w:rPr>
        <w:rStyle w:val="a5"/>
      </w:rPr>
      <w:fldChar w:fldCharType="end"/>
    </w:r>
  </w:p>
  <w:p w:rsidR="00C80C9C" w:rsidRDefault="002213A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3A2" w:rsidRDefault="002213A2" w:rsidP="004573A6">
      <w:r>
        <w:separator/>
      </w:r>
    </w:p>
  </w:footnote>
  <w:footnote w:type="continuationSeparator" w:id="1">
    <w:p w:rsidR="002213A2" w:rsidRDefault="002213A2" w:rsidP="00457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3A6"/>
    <w:rsid w:val="002213A2"/>
    <w:rsid w:val="00457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A6"/>
    <w:rPr>
      <w:rFonts w:ascii="Times New Roman" w:eastAsia="宋体" w:hAnsi="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73A6"/>
    <w:pPr>
      <w:widowControl w:val="0"/>
      <w:pBdr>
        <w:bottom w:val="single" w:sz="6" w:space="1" w:color="auto"/>
      </w:pBdr>
      <w:tabs>
        <w:tab w:val="center" w:pos="4153"/>
        <w:tab w:val="right" w:pos="8306"/>
      </w:tabs>
      <w:snapToGrid w:val="0"/>
      <w:jc w:val="center"/>
    </w:pPr>
    <w:rPr>
      <w:rFonts w:asciiTheme="minorHAnsi" w:eastAsiaTheme="minorEastAsia" w:hAnsiTheme="minorHAnsi"/>
      <w:kern w:val="2"/>
      <w:sz w:val="18"/>
      <w:szCs w:val="18"/>
      <w:lang w:eastAsia="zh-CN"/>
    </w:rPr>
  </w:style>
  <w:style w:type="character" w:customStyle="1" w:styleId="Char">
    <w:name w:val="页眉 Char"/>
    <w:basedOn w:val="a0"/>
    <w:link w:val="a3"/>
    <w:uiPriority w:val="99"/>
    <w:semiHidden/>
    <w:rsid w:val="004573A6"/>
    <w:rPr>
      <w:sz w:val="18"/>
      <w:szCs w:val="18"/>
    </w:rPr>
  </w:style>
  <w:style w:type="paragraph" w:styleId="a4">
    <w:name w:val="footer"/>
    <w:basedOn w:val="a"/>
    <w:link w:val="Char0"/>
    <w:unhideWhenUsed/>
    <w:rsid w:val="004573A6"/>
    <w:pPr>
      <w:widowControl w:val="0"/>
      <w:tabs>
        <w:tab w:val="center" w:pos="4153"/>
        <w:tab w:val="right" w:pos="8306"/>
      </w:tabs>
      <w:snapToGrid w:val="0"/>
    </w:pPr>
    <w:rPr>
      <w:rFonts w:asciiTheme="minorHAnsi" w:eastAsiaTheme="minorEastAsia" w:hAnsiTheme="minorHAnsi"/>
      <w:kern w:val="2"/>
      <w:sz w:val="18"/>
      <w:szCs w:val="18"/>
      <w:lang w:eastAsia="zh-CN"/>
    </w:rPr>
  </w:style>
  <w:style w:type="character" w:customStyle="1" w:styleId="Char0">
    <w:name w:val="页脚 Char"/>
    <w:basedOn w:val="a0"/>
    <w:link w:val="a4"/>
    <w:uiPriority w:val="99"/>
    <w:semiHidden/>
    <w:rsid w:val="004573A6"/>
    <w:rPr>
      <w:sz w:val="18"/>
      <w:szCs w:val="18"/>
    </w:rPr>
  </w:style>
  <w:style w:type="character" w:styleId="a5">
    <w:name w:val="page number"/>
    <w:basedOn w:val="a0"/>
    <w:qFormat/>
    <w:rsid w:val="004573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2017-12-21T02:25:00Z</dcterms:created>
  <dcterms:modified xsi:type="dcterms:W3CDTF">2017-12-21T02:30:00Z</dcterms:modified>
</cp:coreProperties>
</file>