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FA" w:rsidRDefault="00A568FA" w:rsidP="00133363">
      <w:pPr>
        <w:jc w:val="center"/>
        <w:rPr>
          <w:rFonts w:ascii="宋体" w:eastAsia="宋体" w:hAnsi="宋体" w:cs="宋体"/>
          <w:b/>
          <w:bCs/>
          <w:sz w:val="40"/>
          <w:szCs w:val="40"/>
        </w:rPr>
      </w:pPr>
      <w:r>
        <w:rPr>
          <w:rFonts w:ascii="宋体" w:eastAsia="宋体" w:hAnsi="宋体" w:cs="宋体" w:hint="eastAsia"/>
          <w:b/>
          <w:bCs/>
          <w:sz w:val="40"/>
          <w:szCs w:val="40"/>
        </w:rPr>
        <w:t>攸县</w:t>
      </w:r>
      <w:r>
        <w:rPr>
          <w:rFonts w:ascii="liubingsen" w:eastAsia="liubingsen" w:hAnsi="liubingsen" w:cs="liubingsen" w:hint="eastAsia"/>
          <w:b/>
          <w:bCs/>
          <w:sz w:val="40"/>
          <w:szCs w:val="40"/>
        </w:rPr>
        <w:t>政府工作部</w:t>
      </w:r>
      <w:r>
        <w:rPr>
          <w:rFonts w:ascii="宋体" w:eastAsia="宋体" w:hAnsi="宋体" w:cs="宋体" w:hint="eastAsia"/>
          <w:b/>
          <w:bCs/>
          <w:sz w:val="40"/>
          <w:szCs w:val="40"/>
        </w:rPr>
        <w:t>门权</w:t>
      </w:r>
      <w:r>
        <w:rPr>
          <w:rFonts w:ascii="liubingsen" w:eastAsia="liubingsen" w:hAnsi="liubingsen" w:cs="liubingsen" w:hint="eastAsia"/>
          <w:b/>
          <w:bCs/>
          <w:sz w:val="40"/>
          <w:szCs w:val="40"/>
        </w:rPr>
        <w:t>力清</w:t>
      </w:r>
      <w:r>
        <w:rPr>
          <w:rFonts w:ascii="宋体" w:eastAsia="宋体" w:hAnsi="宋体" w:cs="宋体" w:hint="eastAsia"/>
          <w:b/>
          <w:bCs/>
          <w:sz w:val="40"/>
          <w:szCs w:val="40"/>
        </w:rPr>
        <w:t>单</w:t>
      </w:r>
    </w:p>
    <w:p w:rsidR="00A568FA" w:rsidRDefault="00A568FA" w:rsidP="00A568FA">
      <w:pPr>
        <w:spacing w:line="560" w:lineRule="exact"/>
        <w:rPr>
          <w:rFonts w:ascii="黑体" w:eastAsia="黑体" w:hAnsi="宋体" w:cs="Times New Roman"/>
          <w:bCs/>
          <w:color w:val="000000"/>
          <w:sz w:val="36"/>
          <w:szCs w:val="36"/>
        </w:rPr>
      </w:pPr>
      <w:r>
        <w:rPr>
          <w:rFonts w:ascii="宋体" w:eastAsia="宋体" w:hAnsi="宋体" w:cs="宋体" w:hint="eastAsia"/>
          <w:bCs/>
          <w:color w:val="000000"/>
          <w:sz w:val="30"/>
          <w:szCs w:val="30"/>
        </w:rPr>
        <w:t>单</w:t>
      </w:r>
      <w:r>
        <w:rPr>
          <w:rFonts w:ascii="liubingsen" w:eastAsia="liubingsen" w:hAnsi="liubingsen" w:cs="liubingsen" w:hint="eastAsia"/>
          <w:bCs/>
          <w:color w:val="000000"/>
          <w:sz w:val="30"/>
          <w:szCs w:val="30"/>
        </w:rPr>
        <w:t>位名称（</w:t>
      </w:r>
      <w:r>
        <w:rPr>
          <w:rFonts w:ascii="宋体" w:eastAsia="宋体" w:hAnsi="宋体" w:cs="宋体" w:hint="eastAsia"/>
          <w:bCs/>
          <w:color w:val="000000"/>
          <w:sz w:val="30"/>
          <w:szCs w:val="30"/>
        </w:rPr>
        <w:t>盖</w:t>
      </w:r>
      <w:r>
        <w:rPr>
          <w:rFonts w:ascii="liubingsen" w:eastAsia="liubingsen" w:hAnsi="liubingsen" w:cs="liubingsen" w:hint="eastAsia"/>
          <w:bCs/>
          <w:color w:val="000000"/>
          <w:sz w:val="30"/>
          <w:szCs w:val="30"/>
        </w:rPr>
        <w:t>章）：</w:t>
      </w:r>
      <w:r>
        <w:rPr>
          <w:rFonts w:ascii="宋体" w:eastAsia="宋体" w:hAnsi="宋体" w:cs="宋体" w:hint="eastAsia"/>
          <w:bCs/>
          <w:color w:val="000000"/>
          <w:sz w:val="30"/>
          <w:szCs w:val="30"/>
        </w:rPr>
        <w:t>攸县发</w:t>
      </w:r>
      <w:r>
        <w:rPr>
          <w:rFonts w:ascii="liubingsen" w:eastAsia="liubingsen" w:hAnsi="liubingsen" w:cs="liubingsen" w:hint="eastAsia"/>
          <w:bCs/>
          <w:color w:val="000000"/>
          <w:sz w:val="30"/>
          <w:szCs w:val="30"/>
        </w:rPr>
        <w:t>展和改革局</w:t>
      </w:r>
      <w:r>
        <w:rPr>
          <w:rFonts w:hAnsi="宋体"/>
          <w:bCs/>
          <w:color w:val="000000"/>
          <w:sz w:val="30"/>
          <w:szCs w:val="30"/>
        </w:rPr>
        <w:t xml:space="preserve"> </w:t>
      </w:r>
      <w:r>
        <w:rPr>
          <w:rFonts w:ascii="黑体" w:eastAsia="黑体" w:hAnsi="宋体" w:hint="eastAsia"/>
          <w:bCs/>
          <w:color w:val="000000"/>
          <w:sz w:val="30"/>
          <w:szCs w:val="30"/>
        </w:rPr>
        <w:t xml:space="preserve">                                   </w:t>
      </w:r>
      <w:r>
        <w:rPr>
          <w:rFonts w:ascii="宋体" w:eastAsia="宋体" w:hAnsi="宋体" w:cs="宋体" w:hint="eastAsia"/>
          <w:bCs/>
          <w:color w:val="000000"/>
          <w:sz w:val="30"/>
          <w:szCs w:val="30"/>
        </w:rPr>
        <w:t>时间</w:t>
      </w:r>
      <w:r>
        <w:rPr>
          <w:rFonts w:hAnsi="宋体" w:hint="eastAsia"/>
          <w:bCs/>
          <w:color w:val="000000"/>
          <w:szCs w:val="21"/>
        </w:rPr>
        <w:t>：</w:t>
      </w:r>
      <w:r>
        <w:rPr>
          <w:rFonts w:hAnsi="宋体"/>
          <w:bCs/>
          <w:color w:val="000000"/>
          <w:szCs w:val="21"/>
        </w:rPr>
        <w:t>2017</w:t>
      </w:r>
      <w:r>
        <w:rPr>
          <w:rFonts w:hAnsi="宋体" w:hint="eastAsia"/>
          <w:bCs/>
          <w:color w:val="000000"/>
          <w:szCs w:val="21"/>
        </w:rPr>
        <w:t>年</w:t>
      </w:r>
      <w:r>
        <w:rPr>
          <w:rFonts w:hAnsi="宋体"/>
          <w:bCs/>
          <w:color w:val="000000"/>
          <w:szCs w:val="21"/>
        </w:rPr>
        <w:t>8</w:t>
      </w:r>
      <w:r>
        <w:rPr>
          <w:rFonts w:hAnsi="宋体" w:hint="eastAsia"/>
          <w:bCs/>
          <w:color w:val="000000"/>
          <w:szCs w:val="21"/>
        </w:rPr>
        <w:t>月</w:t>
      </w:r>
      <w:r>
        <w:rPr>
          <w:rFonts w:hAnsi="宋体"/>
          <w:bCs/>
          <w:color w:val="000000"/>
          <w:szCs w:val="21"/>
        </w:rPr>
        <w:t>20</w:t>
      </w:r>
      <w:r>
        <w:rPr>
          <w:rFonts w:hAnsi="宋体" w:hint="eastAsia"/>
          <w:bCs/>
          <w:color w:val="000000"/>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8"/>
        <w:gridCol w:w="2828"/>
        <w:gridCol w:w="742"/>
        <w:gridCol w:w="8410"/>
        <w:gridCol w:w="1434"/>
      </w:tblGrid>
      <w:tr w:rsidR="00A568FA" w:rsidTr="00A568FA">
        <w:trPr>
          <w:trHeight w:val="606"/>
        </w:trPr>
        <w:tc>
          <w:tcPr>
            <w:tcW w:w="72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黑体" w:eastAsia="黑体"/>
                <w:bCs/>
                <w:color w:val="000000"/>
                <w:sz w:val="21"/>
                <w:szCs w:val="21"/>
              </w:rPr>
            </w:pPr>
            <w:r>
              <w:rPr>
                <w:rFonts w:ascii="黑体" w:eastAsia="黑体" w:hAnsi="宋体" w:hint="eastAsia"/>
                <w:bCs/>
                <w:color w:val="000000"/>
                <w:szCs w:val="21"/>
              </w:rPr>
              <w:t>序号</w:t>
            </w:r>
          </w:p>
        </w:tc>
        <w:tc>
          <w:tcPr>
            <w:tcW w:w="282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黑体" w:eastAsia="黑体"/>
                <w:bCs/>
                <w:color w:val="000000"/>
                <w:sz w:val="21"/>
                <w:szCs w:val="21"/>
              </w:rPr>
            </w:pPr>
            <w:r>
              <w:rPr>
                <w:rFonts w:ascii="黑体" w:eastAsia="黑体" w:hAnsi="宋体" w:hint="eastAsia"/>
                <w:bCs/>
                <w:color w:val="000000"/>
                <w:szCs w:val="21"/>
              </w:rPr>
              <w:t>事项名称</w:t>
            </w:r>
          </w:p>
        </w:tc>
        <w:tc>
          <w:tcPr>
            <w:tcW w:w="742"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黑体" w:eastAsia="黑体"/>
                <w:bCs/>
                <w:color w:val="000000"/>
                <w:sz w:val="21"/>
                <w:szCs w:val="21"/>
              </w:rPr>
            </w:pPr>
            <w:r>
              <w:rPr>
                <w:rFonts w:ascii="黑体" w:eastAsia="黑体" w:hAnsi="宋体" w:hint="eastAsia"/>
                <w:bCs/>
                <w:color w:val="000000"/>
                <w:szCs w:val="21"/>
              </w:rPr>
              <w:t>类别</w:t>
            </w:r>
          </w:p>
        </w:tc>
        <w:tc>
          <w:tcPr>
            <w:tcW w:w="841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黑体" w:eastAsia="黑体"/>
                <w:bCs/>
                <w:color w:val="000000"/>
                <w:sz w:val="21"/>
                <w:szCs w:val="21"/>
              </w:rPr>
            </w:pPr>
            <w:r>
              <w:rPr>
                <w:rFonts w:ascii="黑体" w:eastAsia="黑体" w:hAnsi="宋体" w:hint="eastAsia"/>
                <w:bCs/>
                <w:color w:val="000000"/>
                <w:szCs w:val="21"/>
              </w:rPr>
              <w:t>实施依据</w:t>
            </w:r>
          </w:p>
        </w:tc>
        <w:tc>
          <w:tcPr>
            <w:tcW w:w="1434"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黑体" w:eastAsia="黑体"/>
                <w:bCs/>
                <w:color w:val="000000"/>
                <w:sz w:val="21"/>
                <w:szCs w:val="21"/>
              </w:rPr>
            </w:pPr>
            <w:r>
              <w:rPr>
                <w:rFonts w:ascii="黑体" w:eastAsia="黑体" w:hAnsi="宋体" w:hint="eastAsia"/>
                <w:bCs/>
                <w:color w:val="000000"/>
                <w:szCs w:val="21"/>
              </w:rPr>
              <w:t>备注</w:t>
            </w:r>
          </w:p>
        </w:tc>
      </w:tr>
      <w:tr w:rsidR="00A568FA" w:rsidTr="00A568FA">
        <w:tc>
          <w:tcPr>
            <w:tcW w:w="728" w:type="dxa"/>
            <w:tcBorders>
              <w:top w:val="single" w:sz="4" w:space="0" w:color="auto"/>
              <w:left w:val="single" w:sz="4" w:space="0" w:color="auto"/>
              <w:bottom w:val="single" w:sz="4" w:space="0" w:color="auto"/>
              <w:right w:val="single" w:sz="4" w:space="0" w:color="auto"/>
            </w:tcBorders>
            <w:vAlign w:val="center"/>
          </w:tcPr>
          <w:p w:rsidR="00A568FA" w:rsidRDefault="00A568FA" w:rsidP="00A568FA">
            <w:pPr>
              <w:numPr>
                <w:ilvl w:val="0"/>
                <w:numId w:val="1"/>
              </w:numPr>
              <w:adjustRightInd/>
              <w:snapToGrid/>
              <w:spacing w:after="0" w:line="260" w:lineRule="exact"/>
              <w:jc w:val="center"/>
              <w:rPr>
                <w:bCs/>
                <w:color w:val="000000"/>
                <w:sz w:val="21"/>
                <w:szCs w:val="21"/>
              </w:rPr>
            </w:pPr>
          </w:p>
        </w:tc>
        <w:tc>
          <w:tcPr>
            <w:tcW w:w="282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kern w:val="2"/>
                <w:sz w:val="21"/>
                <w:szCs w:val="21"/>
              </w:rPr>
            </w:pPr>
            <w:r>
              <w:rPr>
                <w:rFonts w:hAnsi="宋体" w:hint="eastAsia"/>
                <w:bCs/>
                <w:color w:val="000000"/>
                <w:szCs w:val="21"/>
              </w:rPr>
              <w:t>工程建</w:t>
            </w:r>
            <w:r>
              <w:rPr>
                <w:rFonts w:ascii="宋体" w:eastAsia="宋体" w:hAnsi="宋体" w:cs="宋体" w:hint="eastAsia"/>
                <w:bCs/>
                <w:color w:val="000000"/>
                <w:szCs w:val="21"/>
              </w:rPr>
              <w:t>设项</w:t>
            </w:r>
            <w:r>
              <w:rPr>
                <w:rFonts w:ascii="liubingsen" w:eastAsia="liubingsen" w:hAnsi="liubingsen" w:cs="liubingsen" w:hint="eastAsia"/>
                <w:bCs/>
                <w:color w:val="000000"/>
                <w:szCs w:val="21"/>
              </w:rPr>
              <w:t>目招</w:t>
            </w:r>
            <w:r>
              <w:rPr>
                <w:rFonts w:ascii="宋体" w:eastAsia="宋体" w:hAnsi="宋体" w:cs="宋体" w:hint="eastAsia"/>
                <w:bCs/>
                <w:color w:val="000000"/>
                <w:szCs w:val="21"/>
              </w:rPr>
              <w:t>标</w:t>
            </w:r>
            <w:r>
              <w:rPr>
                <w:rFonts w:ascii="liubingsen" w:eastAsia="liubingsen" w:hAnsi="liubingsen" w:cs="liubingsen" w:hint="eastAsia"/>
                <w:bCs/>
                <w:color w:val="000000"/>
                <w:szCs w:val="21"/>
              </w:rPr>
              <w:t>方式、招</w:t>
            </w:r>
            <w:r>
              <w:rPr>
                <w:rFonts w:ascii="宋体" w:eastAsia="宋体" w:hAnsi="宋体" w:cs="宋体" w:hint="eastAsia"/>
                <w:bCs/>
                <w:color w:val="000000"/>
                <w:szCs w:val="21"/>
              </w:rPr>
              <w:t>标组织</w:t>
            </w:r>
            <w:r>
              <w:rPr>
                <w:rFonts w:ascii="liubingsen" w:eastAsia="liubingsen" w:hAnsi="liubingsen" w:cs="liubingsen" w:hint="eastAsia"/>
                <w:bCs/>
                <w:color w:val="000000"/>
                <w:szCs w:val="21"/>
              </w:rPr>
              <w:t>形式和招</w:t>
            </w:r>
            <w:r>
              <w:rPr>
                <w:rFonts w:ascii="宋体" w:eastAsia="宋体" w:hAnsi="宋体" w:cs="宋体" w:hint="eastAsia"/>
                <w:bCs/>
                <w:color w:val="000000"/>
                <w:szCs w:val="21"/>
              </w:rPr>
              <w:t>标范围</w:t>
            </w:r>
            <w:r>
              <w:rPr>
                <w:rFonts w:ascii="liubingsen" w:eastAsia="liubingsen" w:hAnsi="liubingsen" w:cs="liubingsen" w:hint="eastAsia"/>
                <w:bCs/>
                <w:color w:val="000000"/>
                <w:szCs w:val="21"/>
              </w:rPr>
              <w:t>核准</w:t>
            </w:r>
          </w:p>
        </w:tc>
        <w:tc>
          <w:tcPr>
            <w:tcW w:w="742"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bCs/>
                <w:color w:val="000000"/>
                <w:sz w:val="21"/>
                <w:szCs w:val="21"/>
              </w:rPr>
            </w:pPr>
            <w:r>
              <w:rPr>
                <w:rFonts w:hAnsi="宋体" w:hint="eastAsia"/>
                <w:bCs/>
                <w:color w:val="000000"/>
                <w:szCs w:val="21"/>
              </w:rPr>
              <w:t>行政</w:t>
            </w:r>
            <w:r>
              <w:rPr>
                <w:rFonts w:ascii="宋体" w:eastAsia="宋体" w:hAnsi="宋体" w:cs="宋体" w:hint="eastAsia"/>
                <w:bCs/>
                <w:color w:val="000000"/>
                <w:szCs w:val="21"/>
              </w:rPr>
              <w:t>许</w:t>
            </w:r>
            <w:r>
              <w:rPr>
                <w:rFonts w:ascii="liubingsen" w:eastAsia="liubingsen" w:hAnsi="liubingsen" w:cs="liubingsen" w:hint="eastAsia"/>
                <w:bCs/>
                <w:color w:val="000000"/>
                <w:szCs w:val="21"/>
              </w:rPr>
              <w:t>可</w:t>
            </w:r>
          </w:p>
        </w:tc>
        <w:tc>
          <w:tcPr>
            <w:tcW w:w="841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spacing w:line="260" w:lineRule="exact"/>
              <w:ind w:firstLineChars="150" w:firstLine="330"/>
              <w:jc w:val="both"/>
              <w:rPr>
                <w:bCs/>
                <w:color w:val="000000"/>
                <w:sz w:val="21"/>
                <w:szCs w:val="21"/>
              </w:rPr>
            </w:pPr>
            <w:r>
              <w:rPr>
                <w:rFonts w:hAnsi="宋体" w:hint="eastAsia"/>
                <w:bCs/>
                <w:color w:val="000000"/>
                <w:szCs w:val="21"/>
              </w:rPr>
              <w:t>《中</w:t>
            </w:r>
            <w:r>
              <w:rPr>
                <w:rFonts w:ascii="宋体" w:eastAsia="宋体" w:hAnsi="宋体" w:cs="宋体" w:hint="eastAsia"/>
                <w:bCs/>
                <w:color w:val="000000"/>
                <w:szCs w:val="21"/>
              </w:rPr>
              <w:t>华</w:t>
            </w:r>
            <w:r>
              <w:rPr>
                <w:rFonts w:ascii="liubingsen" w:eastAsia="liubingsen" w:hAnsi="liubingsen" w:cs="liubingsen" w:hint="eastAsia"/>
                <w:bCs/>
                <w:color w:val="000000"/>
                <w:szCs w:val="21"/>
              </w:rPr>
              <w:t>人民共和国招</w:t>
            </w:r>
            <w:r>
              <w:rPr>
                <w:rFonts w:ascii="宋体" w:eastAsia="宋体" w:hAnsi="宋体" w:cs="宋体" w:hint="eastAsia"/>
                <w:bCs/>
                <w:color w:val="000000"/>
                <w:szCs w:val="21"/>
              </w:rPr>
              <w:t>标</w:t>
            </w:r>
            <w:r>
              <w:rPr>
                <w:rFonts w:ascii="liubingsen" w:eastAsia="liubingsen" w:hAnsi="liubingsen" w:cs="liubingsen" w:hint="eastAsia"/>
                <w:bCs/>
                <w:color w:val="000000"/>
                <w:szCs w:val="21"/>
              </w:rPr>
              <w:t>投</w:t>
            </w:r>
            <w:r>
              <w:rPr>
                <w:rFonts w:ascii="宋体" w:eastAsia="宋体" w:hAnsi="宋体" w:cs="宋体" w:hint="eastAsia"/>
                <w:bCs/>
                <w:color w:val="000000"/>
                <w:szCs w:val="21"/>
              </w:rPr>
              <w:t>标</w:t>
            </w:r>
            <w:r>
              <w:rPr>
                <w:rFonts w:ascii="liubingsen" w:eastAsia="liubingsen" w:hAnsi="liubingsen" w:cs="liubingsen" w:hint="eastAsia"/>
                <w:bCs/>
                <w:color w:val="000000"/>
                <w:szCs w:val="21"/>
              </w:rPr>
              <w:t>法</w:t>
            </w:r>
            <w:r>
              <w:rPr>
                <w:rFonts w:ascii="宋体" w:eastAsia="宋体" w:hAnsi="宋体" w:cs="宋体" w:hint="eastAsia"/>
                <w:bCs/>
                <w:color w:val="000000"/>
                <w:szCs w:val="21"/>
              </w:rPr>
              <w:t>实</w:t>
            </w:r>
            <w:r>
              <w:rPr>
                <w:rFonts w:ascii="liubingsen" w:eastAsia="liubingsen" w:hAnsi="liubingsen" w:cs="liubingsen" w:hint="eastAsia"/>
                <w:bCs/>
                <w:color w:val="000000"/>
                <w:szCs w:val="21"/>
              </w:rPr>
              <w:t>施条例》（国</w:t>
            </w:r>
            <w:r>
              <w:rPr>
                <w:rFonts w:ascii="宋体" w:eastAsia="宋体" w:hAnsi="宋体" w:cs="宋体" w:hint="eastAsia"/>
                <w:bCs/>
                <w:color w:val="000000"/>
                <w:szCs w:val="21"/>
              </w:rPr>
              <w:t>务</w:t>
            </w:r>
            <w:r>
              <w:rPr>
                <w:rFonts w:ascii="liubingsen" w:eastAsia="liubingsen" w:hAnsi="liubingsen" w:cs="liubingsen" w:hint="eastAsia"/>
                <w:bCs/>
                <w:color w:val="000000"/>
                <w:szCs w:val="21"/>
              </w:rPr>
              <w:t>院令第</w:t>
            </w:r>
            <w:r>
              <w:rPr>
                <w:bCs/>
                <w:color w:val="000000"/>
                <w:szCs w:val="21"/>
              </w:rPr>
              <w:t>613</w:t>
            </w:r>
            <w:r>
              <w:rPr>
                <w:rFonts w:hAnsi="宋体" w:hint="eastAsia"/>
                <w:bCs/>
                <w:color w:val="000000"/>
                <w:szCs w:val="21"/>
              </w:rPr>
              <w:t>号）第七条：按照国家有</w:t>
            </w:r>
            <w:r>
              <w:rPr>
                <w:rFonts w:ascii="宋体" w:eastAsia="宋体" w:hAnsi="宋体" w:cs="宋体" w:hint="eastAsia"/>
                <w:bCs/>
                <w:color w:val="000000"/>
                <w:szCs w:val="21"/>
              </w:rPr>
              <w:t>关规</w:t>
            </w:r>
            <w:r>
              <w:rPr>
                <w:rFonts w:ascii="liubingsen" w:eastAsia="liubingsen" w:hAnsi="liubingsen" w:cs="liubingsen" w:hint="eastAsia"/>
                <w:bCs/>
                <w:color w:val="000000"/>
                <w:szCs w:val="21"/>
              </w:rPr>
              <w:t>定需要履行</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w:t>
            </w:r>
            <w:r>
              <w:rPr>
                <w:rFonts w:ascii="宋体" w:eastAsia="宋体" w:hAnsi="宋体" w:cs="宋体" w:hint="eastAsia"/>
                <w:bCs/>
                <w:color w:val="000000"/>
                <w:szCs w:val="21"/>
              </w:rPr>
              <w:t>审</w:t>
            </w:r>
            <w:r>
              <w:rPr>
                <w:rFonts w:ascii="liubingsen" w:eastAsia="liubingsen" w:hAnsi="liubingsen" w:cs="liubingsen" w:hint="eastAsia"/>
                <w:bCs/>
                <w:color w:val="000000"/>
                <w:szCs w:val="21"/>
              </w:rPr>
              <w:t>批、核准手</w:t>
            </w:r>
            <w:r>
              <w:rPr>
                <w:rFonts w:ascii="宋体" w:eastAsia="宋体" w:hAnsi="宋体" w:cs="宋体" w:hint="eastAsia"/>
                <w:bCs/>
                <w:color w:val="000000"/>
                <w:szCs w:val="21"/>
              </w:rPr>
              <w:t>续</w:t>
            </w:r>
            <w:r>
              <w:rPr>
                <w:rFonts w:ascii="liubingsen" w:eastAsia="liubingsen" w:hAnsi="liubingsen" w:cs="liubingsen" w:hint="eastAsia"/>
                <w:bCs/>
                <w:color w:val="000000"/>
                <w:szCs w:val="21"/>
              </w:rPr>
              <w:t>的依法必</w:t>
            </w:r>
            <w:r>
              <w:rPr>
                <w:rFonts w:ascii="宋体" w:eastAsia="宋体" w:hAnsi="宋体" w:cs="宋体" w:hint="eastAsia"/>
                <w:bCs/>
                <w:color w:val="000000"/>
                <w:szCs w:val="21"/>
              </w:rPr>
              <w:t>须进</w:t>
            </w:r>
            <w:r>
              <w:rPr>
                <w:rFonts w:ascii="liubingsen" w:eastAsia="liubingsen" w:hAnsi="liubingsen" w:cs="liubingsen" w:hint="eastAsia"/>
                <w:bCs/>
                <w:color w:val="000000"/>
                <w:szCs w:val="21"/>
              </w:rPr>
              <w:t>行招</w:t>
            </w:r>
            <w:r>
              <w:rPr>
                <w:rFonts w:ascii="宋体" w:eastAsia="宋体" w:hAnsi="宋体" w:cs="宋体" w:hint="eastAsia"/>
                <w:bCs/>
                <w:color w:val="000000"/>
                <w:szCs w:val="21"/>
              </w:rPr>
              <w:t>标</w:t>
            </w:r>
            <w:r>
              <w:rPr>
                <w:rFonts w:ascii="liubingsen" w:eastAsia="liubingsen" w:hAnsi="liubingsen" w:cs="liubingsen" w:hint="eastAsia"/>
                <w:bCs/>
                <w:color w:val="000000"/>
                <w:szCs w:val="21"/>
              </w:rPr>
              <w:t>的</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目，其招</w:t>
            </w:r>
            <w:r>
              <w:rPr>
                <w:rFonts w:ascii="宋体" w:eastAsia="宋体" w:hAnsi="宋体" w:cs="宋体" w:hint="eastAsia"/>
                <w:bCs/>
                <w:color w:val="000000"/>
                <w:szCs w:val="21"/>
              </w:rPr>
              <w:t>标范围</w:t>
            </w:r>
            <w:r>
              <w:rPr>
                <w:rFonts w:ascii="liubingsen" w:eastAsia="liubingsen" w:hAnsi="liubingsen" w:cs="liubingsen" w:hint="eastAsia"/>
                <w:bCs/>
                <w:color w:val="000000"/>
                <w:szCs w:val="21"/>
              </w:rPr>
              <w:t>、招</w:t>
            </w:r>
            <w:r>
              <w:rPr>
                <w:rFonts w:ascii="宋体" w:eastAsia="宋体" w:hAnsi="宋体" w:cs="宋体" w:hint="eastAsia"/>
                <w:bCs/>
                <w:color w:val="000000"/>
                <w:szCs w:val="21"/>
              </w:rPr>
              <w:t>标</w:t>
            </w:r>
            <w:r>
              <w:rPr>
                <w:rFonts w:ascii="liubingsen" w:eastAsia="liubingsen" w:hAnsi="liubingsen" w:cs="liubingsen" w:hint="eastAsia"/>
                <w:bCs/>
                <w:color w:val="000000"/>
                <w:szCs w:val="21"/>
              </w:rPr>
              <w:t>方式、招</w:t>
            </w:r>
            <w:r>
              <w:rPr>
                <w:rFonts w:ascii="宋体" w:eastAsia="宋体" w:hAnsi="宋体" w:cs="宋体" w:hint="eastAsia"/>
                <w:bCs/>
                <w:color w:val="000000"/>
                <w:szCs w:val="21"/>
              </w:rPr>
              <w:t>标组织</w:t>
            </w:r>
            <w:r>
              <w:rPr>
                <w:rFonts w:ascii="liubingsen" w:eastAsia="liubingsen" w:hAnsi="liubingsen" w:cs="liubingsen" w:hint="eastAsia"/>
                <w:bCs/>
                <w:color w:val="000000"/>
                <w:szCs w:val="21"/>
              </w:rPr>
              <w:t>形式</w:t>
            </w:r>
            <w:r>
              <w:rPr>
                <w:rFonts w:ascii="宋体" w:eastAsia="宋体" w:hAnsi="宋体" w:cs="宋体" w:hint="eastAsia"/>
                <w:bCs/>
                <w:color w:val="000000"/>
                <w:szCs w:val="21"/>
              </w:rPr>
              <w:t>应</w:t>
            </w:r>
            <w:r>
              <w:rPr>
                <w:rFonts w:ascii="liubingsen" w:eastAsia="liubingsen" w:hAnsi="liubingsen" w:cs="liubingsen" w:hint="eastAsia"/>
                <w:bCs/>
                <w:color w:val="000000"/>
                <w:szCs w:val="21"/>
              </w:rPr>
              <w:t>当</w:t>
            </w:r>
            <w:r>
              <w:rPr>
                <w:rFonts w:ascii="宋体" w:eastAsia="宋体" w:hAnsi="宋体" w:cs="宋体" w:hint="eastAsia"/>
                <w:bCs/>
                <w:color w:val="000000"/>
                <w:szCs w:val="21"/>
              </w:rPr>
              <w:t>报项</w:t>
            </w:r>
            <w:r>
              <w:rPr>
                <w:rFonts w:ascii="liubingsen" w:eastAsia="liubingsen" w:hAnsi="liubingsen" w:cs="liubingsen" w:hint="eastAsia"/>
                <w:bCs/>
                <w:color w:val="000000"/>
                <w:szCs w:val="21"/>
              </w:rPr>
              <w:t>目</w:t>
            </w:r>
            <w:r>
              <w:rPr>
                <w:rFonts w:ascii="宋体" w:eastAsia="宋体" w:hAnsi="宋体" w:cs="宋体" w:hint="eastAsia"/>
                <w:bCs/>
                <w:color w:val="000000"/>
                <w:szCs w:val="21"/>
              </w:rPr>
              <w:t>审</w:t>
            </w:r>
            <w:r>
              <w:rPr>
                <w:rFonts w:ascii="liubingsen" w:eastAsia="liubingsen" w:hAnsi="liubingsen" w:cs="liubingsen" w:hint="eastAsia"/>
                <w:bCs/>
                <w:color w:val="000000"/>
                <w:szCs w:val="21"/>
              </w:rPr>
              <w:t>批、核准部</w:t>
            </w:r>
            <w:r>
              <w:rPr>
                <w:rFonts w:ascii="宋体" w:eastAsia="宋体" w:hAnsi="宋体" w:cs="宋体" w:hint="eastAsia"/>
                <w:bCs/>
                <w:color w:val="000000"/>
                <w:szCs w:val="21"/>
              </w:rPr>
              <w:t>门审</w:t>
            </w:r>
            <w:r>
              <w:rPr>
                <w:rFonts w:ascii="liubingsen" w:eastAsia="liubingsen" w:hAnsi="liubingsen" w:cs="liubingsen" w:hint="eastAsia"/>
                <w:bCs/>
                <w:color w:val="000000"/>
                <w:szCs w:val="21"/>
              </w:rPr>
              <w:t>批、核准。</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w:t>
            </w:r>
            <w:r>
              <w:rPr>
                <w:rFonts w:ascii="宋体" w:eastAsia="宋体" w:hAnsi="宋体" w:cs="宋体" w:hint="eastAsia"/>
                <w:bCs/>
                <w:color w:val="000000"/>
                <w:szCs w:val="21"/>
              </w:rPr>
              <w:t>审</w:t>
            </w:r>
            <w:r>
              <w:rPr>
                <w:rFonts w:ascii="liubingsen" w:eastAsia="liubingsen" w:hAnsi="liubingsen" w:cs="liubingsen" w:hint="eastAsia"/>
                <w:bCs/>
                <w:color w:val="000000"/>
                <w:szCs w:val="21"/>
              </w:rPr>
              <w:t>批、核准部</w:t>
            </w:r>
            <w:r>
              <w:rPr>
                <w:rFonts w:ascii="宋体" w:eastAsia="宋体" w:hAnsi="宋体" w:cs="宋体" w:hint="eastAsia"/>
                <w:bCs/>
                <w:color w:val="000000"/>
                <w:szCs w:val="21"/>
              </w:rPr>
              <w:t>门应</w:t>
            </w:r>
            <w:r>
              <w:rPr>
                <w:rFonts w:ascii="liubingsen" w:eastAsia="liubingsen" w:hAnsi="liubingsen" w:cs="liubingsen" w:hint="eastAsia"/>
                <w:bCs/>
                <w:color w:val="000000"/>
                <w:szCs w:val="21"/>
              </w:rPr>
              <w:t>当及</w:t>
            </w:r>
            <w:r>
              <w:rPr>
                <w:rFonts w:ascii="宋体" w:eastAsia="宋体" w:hAnsi="宋体" w:cs="宋体" w:hint="eastAsia"/>
                <w:bCs/>
                <w:color w:val="000000"/>
                <w:szCs w:val="21"/>
              </w:rPr>
              <w:t>时</w:t>
            </w:r>
            <w:r>
              <w:rPr>
                <w:rFonts w:ascii="liubingsen" w:eastAsia="liubingsen" w:hAnsi="liubingsen" w:cs="liubingsen" w:hint="eastAsia"/>
                <w:bCs/>
                <w:color w:val="000000"/>
                <w:szCs w:val="21"/>
              </w:rPr>
              <w:t>将</w:t>
            </w:r>
            <w:r>
              <w:rPr>
                <w:rFonts w:ascii="宋体" w:eastAsia="宋体" w:hAnsi="宋体" w:cs="宋体" w:hint="eastAsia"/>
                <w:bCs/>
                <w:color w:val="000000"/>
                <w:szCs w:val="21"/>
              </w:rPr>
              <w:t>审</w:t>
            </w:r>
            <w:r>
              <w:rPr>
                <w:rFonts w:ascii="liubingsen" w:eastAsia="liubingsen" w:hAnsi="liubingsen" w:cs="liubingsen" w:hint="eastAsia"/>
                <w:bCs/>
                <w:color w:val="000000"/>
                <w:szCs w:val="21"/>
              </w:rPr>
              <w:t>批、核准</w:t>
            </w:r>
            <w:r>
              <w:rPr>
                <w:rFonts w:ascii="宋体" w:eastAsia="宋体" w:hAnsi="宋体" w:cs="宋体" w:hint="eastAsia"/>
                <w:bCs/>
                <w:color w:val="000000"/>
                <w:szCs w:val="21"/>
              </w:rPr>
              <w:t>确</w:t>
            </w:r>
            <w:r>
              <w:rPr>
                <w:rFonts w:ascii="liubingsen" w:eastAsia="liubingsen" w:hAnsi="liubingsen" w:cs="liubingsen" w:hint="eastAsia"/>
                <w:bCs/>
                <w:color w:val="000000"/>
                <w:szCs w:val="21"/>
              </w:rPr>
              <w:t>定的招</w:t>
            </w:r>
            <w:r>
              <w:rPr>
                <w:rFonts w:ascii="宋体" w:eastAsia="宋体" w:hAnsi="宋体" w:cs="宋体" w:hint="eastAsia"/>
                <w:bCs/>
                <w:color w:val="000000"/>
                <w:szCs w:val="21"/>
              </w:rPr>
              <w:t>标范围</w:t>
            </w:r>
            <w:r>
              <w:rPr>
                <w:rFonts w:ascii="liubingsen" w:eastAsia="liubingsen" w:hAnsi="liubingsen" w:cs="liubingsen" w:hint="eastAsia"/>
                <w:bCs/>
                <w:color w:val="000000"/>
                <w:szCs w:val="21"/>
              </w:rPr>
              <w:t>、招</w:t>
            </w:r>
            <w:r>
              <w:rPr>
                <w:rFonts w:ascii="宋体" w:eastAsia="宋体" w:hAnsi="宋体" w:cs="宋体" w:hint="eastAsia"/>
                <w:bCs/>
                <w:color w:val="000000"/>
                <w:szCs w:val="21"/>
              </w:rPr>
              <w:t>标</w:t>
            </w:r>
            <w:r>
              <w:rPr>
                <w:rFonts w:ascii="liubingsen" w:eastAsia="liubingsen" w:hAnsi="liubingsen" w:cs="liubingsen" w:hint="eastAsia"/>
                <w:bCs/>
                <w:color w:val="000000"/>
                <w:szCs w:val="21"/>
              </w:rPr>
              <w:t>方式、招</w:t>
            </w:r>
            <w:r>
              <w:rPr>
                <w:rFonts w:ascii="宋体" w:eastAsia="宋体" w:hAnsi="宋体" w:cs="宋体" w:hint="eastAsia"/>
                <w:bCs/>
                <w:color w:val="000000"/>
                <w:szCs w:val="21"/>
              </w:rPr>
              <w:t>标组织</w:t>
            </w:r>
            <w:r>
              <w:rPr>
                <w:rFonts w:ascii="liubingsen" w:eastAsia="liubingsen" w:hAnsi="liubingsen" w:cs="liubingsen" w:hint="eastAsia"/>
                <w:bCs/>
                <w:color w:val="000000"/>
                <w:szCs w:val="21"/>
              </w:rPr>
              <w:t>形式通</w:t>
            </w:r>
            <w:r>
              <w:rPr>
                <w:rFonts w:ascii="宋体" w:eastAsia="宋体" w:hAnsi="宋体" w:cs="宋体" w:hint="eastAsia"/>
                <w:bCs/>
                <w:color w:val="000000"/>
                <w:szCs w:val="21"/>
              </w:rPr>
              <w:t>报</w:t>
            </w:r>
            <w:r>
              <w:rPr>
                <w:rFonts w:ascii="liubingsen" w:eastAsia="liubingsen" w:hAnsi="liubingsen" w:cs="liubingsen" w:hint="eastAsia"/>
                <w:bCs/>
                <w:color w:val="000000"/>
                <w:szCs w:val="21"/>
              </w:rPr>
              <w:t>有</w:t>
            </w:r>
            <w:r>
              <w:rPr>
                <w:rFonts w:ascii="宋体" w:eastAsia="宋体" w:hAnsi="宋体" w:cs="宋体" w:hint="eastAsia"/>
                <w:bCs/>
                <w:color w:val="000000"/>
                <w:szCs w:val="21"/>
              </w:rPr>
              <w:t>关</w:t>
            </w:r>
            <w:r>
              <w:rPr>
                <w:rFonts w:ascii="liubingsen" w:eastAsia="liubingsen" w:hAnsi="liubingsen" w:cs="liubingsen" w:hint="eastAsia"/>
                <w:bCs/>
                <w:color w:val="000000"/>
                <w:szCs w:val="21"/>
              </w:rPr>
              <w:t>行政</w:t>
            </w:r>
            <w:r>
              <w:rPr>
                <w:rFonts w:ascii="宋体" w:eastAsia="宋体" w:hAnsi="宋体" w:cs="宋体" w:hint="eastAsia"/>
                <w:bCs/>
                <w:color w:val="000000"/>
                <w:szCs w:val="21"/>
              </w:rPr>
              <w:t>监</w:t>
            </w:r>
            <w:r>
              <w:rPr>
                <w:rFonts w:ascii="liubingsen" w:eastAsia="liubingsen" w:hAnsi="liubingsen" w:cs="liubingsen" w:hint="eastAsia"/>
                <w:bCs/>
                <w:color w:val="000000"/>
                <w:szCs w:val="21"/>
              </w:rPr>
              <w:t>督部</w:t>
            </w:r>
            <w:r>
              <w:rPr>
                <w:rFonts w:ascii="宋体" w:eastAsia="宋体" w:hAnsi="宋体" w:cs="宋体" w:hint="eastAsia"/>
                <w:bCs/>
                <w:color w:val="000000"/>
                <w:szCs w:val="21"/>
              </w:rPr>
              <w:t>门</w:t>
            </w:r>
            <w:r>
              <w:rPr>
                <w:rFonts w:ascii="liubingsen" w:eastAsia="liubingsen" w:hAnsi="liubingsen" w:cs="liubingsen" w:hint="eastAsia"/>
                <w:bCs/>
                <w:color w:val="000000"/>
                <w:szCs w:val="21"/>
              </w:rPr>
              <w:t>。</w:t>
            </w:r>
          </w:p>
        </w:tc>
        <w:tc>
          <w:tcPr>
            <w:tcW w:w="1434" w:type="dxa"/>
            <w:tcBorders>
              <w:top w:val="single" w:sz="4" w:space="0" w:color="auto"/>
              <w:left w:val="single" w:sz="4" w:space="0" w:color="auto"/>
              <w:bottom w:val="single" w:sz="4" w:space="0" w:color="auto"/>
              <w:right w:val="single" w:sz="4" w:space="0" w:color="auto"/>
            </w:tcBorders>
            <w:vAlign w:val="center"/>
          </w:tcPr>
          <w:p w:rsidR="00A568FA" w:rsidRDefault="00A568FA">
            <w:pPr>
              <w:spacing w:line="260" w:lineRule="exact"/>
              <w:jc w:val="both"/>
              <w:rPr>
                <w:bCs/>
                <w:color w:val="000000"/>
                <w:sz w:val="21"/>
                <w:szCs w:val="21"/>
              </w:rPr>
            </w:pPr>
          </w:p>
        </w:tc>
      </w:tr>
      <w:tr w:rsidR="00A568FA" w:rsidTr="00A568FA">
        <w:tc>
          <w:tcPr>
            <w:tcW w:w="728" w:type="dxa"/>
            <w:tcBorders>
              <w:top w:val="single" w:sz="4" w:space="0" w:color="auto"/>
              <w:left w:val="single" w:sz="4" w:space="0" w:color="auto"/>
              <w:bottom w:val="single" w:sz="4" w:space="0" w:color="auto"/>
              <w:right w:val="single" w:sz="4" w:space="0" w:color="auto"/>
            </w:tcBorders>
            <w:vAlign w:val="center"/>
          </w:tcPr>
          <w:p w:rsidR="00A568FA" w:rsidRDefault="00A568FA" w:rsidP="00A568FA">
            <w:pPr>
              <w:numPr>
                <w:ilvl w:val="0"/>
                <w:numId w:val="1"/>
              </w:numPr>
              <w:adjustRightInd/>
              <w:snapToGrid/>
              <w:spacing w:after="0" w:line="260" w:lineRule="exact"/>
              <w:jc w:val="center"/>
              <w:rPr>
                <w:bCs/>
                <w:color w:val="000000"/>
                <w:sz w:val="21"/>
                <w:szCs w:val="21"/>
              </w:rPr>
            </w:pPr>
          </w:p>
        </w:tc>
        <w:tc>
          <w:tcPr>
            <w:tcW w:w="282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bCs/>
                <w:color w:val="000000"/>
                <w:sz w:val="21"/>
                <w:szCs w:val="21"/>
              </w:rPr>
            </w:pPr>
            <w:r>
              <w:rPr>
                <w:rFonts w:hAnsi="宋体" w:hint="eastAsia"/>
                <w:bCs/>
                <w:color w:val="000000"/>
                <w:szCs w:val="21"/>
              </w:rPr>
              <w:t>重大和限制</w:t>
            </w:r>
            <w:r>
              <w:rPr>
                <w:rFonts w:ascii="宋体" w:eastAsia="宋体" w:hAnsi="宋体" w:cs="宋体" w:hint="eastAsia"/>
                <w:bCs/>
                <w:color w:val="000000"/>
                <w:szCs w:val="21"/>
              </w:rPr>
              <w:t>类</w:t>
            </w:r>
            <w:r>
              <w:rPr>
                <w:rFonts w:ascii="liubingsen" w:eastAsia="liubingsen" w:hAnsi="liubingsen" w:cs="liubingsen" w:hint="eastAsia"/>
                <w:bCs/>
                <w:color w:val="000000"/>
                <w:szCs w:val="21"/>
              </w:rPr>
              <w:t>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投</w:t>
            </w:r>
            <w:r>
              <w:rPr>
                <w:rFonts w:ascii="宋体" w:eastAsia="宋体" w:hAnsi="宋体" w:cs="宋体" w:hint="eastAsia"/>
                <w:bCs/>
                <w:color w:val="000000"/>
                <w:szCs w:val="21"/>
              </w:rPr>
              <w:t>资项</w:t>
            </w:r>
            <w:r>
              <w:rPr>
                <w:rFonts w:ascii="liubingsen" w:eastAsia="liubingsen" w:hAnsi="liubingsen" w:cs="liubingsen" w:hint="eastAsia"/>
                <w:bCs/>
                <w:color w:val="000000"/>
                <w:szCs w:val="21"/>
              </w:rPr>
              <w:t>目核准</w:t>
            </w:r>
          </w:p>
        </w:tc>
        <w:tc>
          <w:tcPr>
            <w:tcW w:w="742"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bCs/>
                <w:color w:val="000000"/>
                <w:sz w:val="21"/>
                <w:szCs w:val="21"/>
              </w:rPr>
            </w:pPr>
            <w:r>
              <w:rPr>
                <w:rFonts w:hAnsi="宋体" w:hint="eastAsia"/>
                <w:bCs/>
                <w:color w:val="000000"/>
                <w:szCs w:val="21"/>
              </w:rPr>
              <w:t>行政</w:t>
            </w:r>
            <w:r>
              <w:rPr>
                <w:rFonts w:ascii="宋体" w:eastAsia="宋体" w:hAnsi="宋体" w:cs="宋体" w:hint="eastAsia"/>
                <w:bCs/>
                <w:color w:val="000000"/>
                <w:szCs w:val="21"/>
              </w:rPr>
              <w:t>许</w:t>
            </w:r>
            <w:r>
              <w:rPr>
                <w:rFonts w:ascii="liubingsen" w:eastAsia="liubingsen" w:hAnsi="liubingsen" w:cs="liubingsen" w:hint="eastAsia"/>
                <w:bCs/>
                <w:color w:val="000000"/>
                <w:szCs w:val="21"/>
              </w:rPr>
              <w:t>可</w:t>
            </w:r>
          </w:p>
        </w:tc>
        <w:tc>
          <w:tcPr>
            <w:tcW w:w="841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spacing w:line="260" w:lineRule="exact"/>
              <w:ind w:firstLineChars="150" w:firstLine="330"/>
              <w:jc w:val="both"/>
              <w:rPr>
                <w:bCs/>
                <w:color w:val="000000"/>
                <w:sz w:val="21"/>
                <w:szCs w:val="21"/>
              </w:rPr>
            </w:pPr>
            <w:r>
              <w:rPr>
                <w:rFonts w:hAnsi="宋体" w:hint="eastAsia"/>
                <w:bCs/>
                <w:color w:val="000000"/>
                <w:szCs w:val="21"/>
              </w:rPr>
              <w:t>《国</w:t>
            </w:r>
            <w:r>
              <w:rPr>
                <w:rFonts w:ascii="宋体" w:eastAsia="宋体" w:hAnsi="宋体" w:cs="宋体" w:hint="eastAsia"/>
                <w:bCs/>
                <w:color w:val="000000"/>
                <w:szCs w:val="21"/>
              </w:rPr>
              <w:t>务</w:t>
            </w:r>
            <w:r>
              <w:rPr>
                <w:rFonts w:ascii="liubingsen" w:eastAsia="liubingsen" w:hAnsi="liubingsen" w:cs="liubingsen" w:hint="eastAsia"/>
                <w:bCs/>
                <w:color w:val="000000"/>
                <w:szCs w:val="21"/>
              </w:rPr>
              <w:t>院</w:t>
            </w:r>
            <w:r>
              <w:rPr>
                <w:rFonts w:ascii="宋体" w:eastAsia="宋体" w:hAnsi="宋体" w:cs="宋体" w:hint="eastAsia"/>
                <w:bCs/>
                <w:color w:val="000000"/>
                <w:szCs w:val="21"/>
              </w:rPr>
              <w:t>关</w:t>
            </w:r>
            <w:r>
              <w:rPr>
                <w:rFonts w:ascii="liubingsen" w:eastAsia="liubingsen" w:hAnsi="liubingsen" w:cs="liubingsen" w:hint="eastAsia"/>
                <w:bCs/>
                <w:color w:val="000000"/>
                <w:szCs w:val="21"/>
              </w:rPr>
              <w:t>于投</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体制改革的决定》（国</w:t>
            </w:r>
            <w:r>
              <w:rPr>
                <w:rFonts w:ascii="宋体" w:eastAsia="宋体" w:hAnsi="宋体" w:cs="宋体" w:hint="eastAsia"/>
                <w:bCs/>
                <w:color w:val="000000"/>
                <w:szCs w:val="21"/>
              </w:rPr>
              <w:t>发</w:t>
            </w:r>
            <w:r>
              <w:rPr>
                <w:rFonts w:ascii="liubingsen" w:eastAsia="liubingsen" w:hAnsi="liubingsen" w:cs="liubingsen" w:hint="eastAsia"/>
                <w:bCs/>
                <w:color w:val="000000"/>
                <w:szCs w:val="21"/>
              </w:rPr>
              <w:t>〔</w:t>
            </w:r>
            <w:r>
              <w:rPr>
                <w:bCs/>
                <w:color w:val="000000"/>
                <w:szCs w:val="21"/>
              </w:rPr>
              <w:t>2004</w:t>
            </w:r>
            <w:r>
              <w:rPr>
                <w:rFonts w:hAnsi="宋体" w:hint="eastAsia"/>
                <w:bCs/>
                <w:color w:val="000000"/>
                <w:szCs w:val="21"/>
              </w:rPr>
              <w:t>〕</w:t>
            </w:r>
            <w:r>
              <w:rPr>
                <w:bCs/>
                <w:color w:val="000000"/>
                <w:szCs w:val="21"/>
              </w:rPr>
              <w:t>20</w:t>
            </w:r>
            <w:r>
              <w:rPr>
                <w:rFonts w:hAnsi="宋体" w:hint="eastAsia"/>
                <w:bCs/>
                <w:color w:val="000000"/>
                <w:szCs w:val="21"/>
              </w:rPr>
              <w:t>号）第二点第一条：改革</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w:t>
            </w:r>
            <w:r>
              <w:rPr>
                <w:rFonts w:ascii="宋体" w:eastAsia="宋体" w:hAnsi="宋体" w:cs="宋体" w:hint="eastAsia"/>
                <w:bCs/>
                <w:color w:val="000000"/>
                <w:szCs w:val="21"/>
              </w:rPr>
              <w:t>审</w:t>
            </w:r>
            <w:r>
              <w:rPr>
                <w:rFonts w:ascii="liubingsen" w:eastAsia="liubingsen" w:hAnsi="liubingsen" w:cs="liubingsen" w:hint="eastAsia"/>
                <w:bCs/>
                <w:color w:val="000000"/>
                <w:szCs w:val="21"/>
              </w:rPr>
              <w:t>批制度，落</w:t>
            </w:r>
            <w:r>
              <w:rPr>
                <w:rFonts w:ascii="宋体" w:eastAsia="宋体" w:hAnsi="宋体" w:cs="宋体" w:hint="eastAsia"/>
                <w:bCs/>
                <w:color w:val="000000"/>
                <w:szCs w:val="21"/>
              </w:rPr>
              <w:t>实</w:t>
            </w:r>
            <w:r>
              <w:rPr>
                <w:rFonts w:ascii="liubingsen" w:eastAsia="liubingsen" w:hAnsi="liubingsen" w:cs="liubingsen" w:hint="eastAsia"/>
                <w:bCs/>
                <w:color w:val="000000"/>
                <w:szCs w:val="21"/>
              </w:rPr>
              <w:t>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投</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自主</w:t>
            </w:r>
            <w:r>
              <w:rPr>
                <w:rFonts w:ascii="宋体" w:eastAsia="宋体" w:hAnsi="宋体" w:cs="宋体" w:hint="eastAsia"/>
                <w:bCs/>
                <w:color w:val="000000"/>
                <w:szCs w:val="21"/>
              </w:rPr>
              <w:t>权</w:t>
            </w:r>
            <w:r>
              <w:rPr>
                <w:rFonts w:ascii="liubingsen" w:eastAsia="liubingsen" w:hAnsi="liubingsen" w:cs="liubingsen" w:hint="eastAsia"/>
                <w:bCs/>
                <w:color w:val="000000"/>
                <w:szCs w:val="21"/>
              </w:rPr>
              <w:t>。</w:t>
            </w:r>
            <w:r>
              <w:rPr>
                <w:rFonts w:ascii="宋体" w:eastAsia="宋体" w:hAnsi="宋体" w:cs="宋体" w:hint="eastAsia"/>
                <w:bCs/>
                <w:color w:val="000000"/>
                <w:szCs w:val="21"/>
              </w:rPr>
              <w:t>彻</w:t>
            </w:r>
            <w:r>
              <w:rPr>
                <w:rFonts w:ascii="liubingsen" w:eastAsia="liubingsen" w:hAnsi="liubingsen" w:cs="liubingsen" w:hint="eastAsia"/>
                <w:bCs/>
                <w:color w:val="000000"/>
                <w:szCs w:val="21"/>
              </w:rPr>
              <w:t>底改革</w:t>
            </w:r>
            <w:r>
              <w:rPr>
                <w:rFonts w:ascii="宋体" w:eastAsia="宋体" w:hAnsi="宋体" w:cs="宋体" w:hint="eastAsia"/>
                <w:bCs/>
                <w:color w:val="000000"/>
                <w:szCs w:val="21"/>
              </w:rPr>
              <w:t>现</w:t>
            </w:r>
            <w:r>
              <w:rPr>
                <w:rFonts w:ascii="liubingsen" w:eastAsia="liubingsen" w:hAnsi="liubingsen" w:cs="liubingsen" w:hint="eastAsia"/>
                <w:bCs/>
                <w:color w:val="000000"/>
                <w:szCs w:val="21"/>
              </w:rPr>
              <w:t>行不分投</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主体、不分</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金来源、不分</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目性</w:t>
            </w:r>
            <w:r>
              <w:rPr>
                <w:rFonts w:ascii="宋体" w:eastAsia="宋体" w:hAnsi="宋体" w:cs="宋体" w:hint="eastAsia"/>
                <w:bCs/>
                <w:color w:val="000000"/>
                <w:szCs w:val="21"/>
              </w:rPr>
              <w:t>质</w:t>
            </w:r>
            <w:r>
              <w:rPr>
                <w:rFonts w:ascii="liubingsen" w:eastAsia="liubingsen" w:hAnsi="liubingsen" w:cs="liubingsen" w:hint="eastAsia"/>
                <w:bCs/>
                <w:color w:val="000000"/>
                <w:szCs w:val="21"/>
              </w:rPr>
              <w:t>，一律按投</w:t>
            </w:r>
            <w:r>
              <w:rPr>
                <w:rFonts w:ascii="宋体" w:eastAsia="宋体" w:hAnsi="宋体" w:cs="宋体" w:hint="eastAsia"/>
                <w:bCs/>
                <w:color w:val="000000"/>
                <w:szCs w:val="21"/>
              </w:rPr>
              <w:t>资规</w:t>
            </w:r>
            <w:r>
              <w:rPr>
                <w:rFonts w:ascii="liubingsen" w:eastAsia="liubingsen" w:hAnsi="liubingsen" w:cs="liubingsen" w:hint="eastAsia"/>
                <w:bCs/>
                <w:color w:val="000000"/>
                <w:szCs w:val="21"/>
              </w:rPr>
              <w:t>模大小分</w:t>
            </w:r>
            <w:r>
              <w:rPr>
                <w:rFonts w:ascii="宋体" w:eastAsia="宋体" w:hAnsi="宋体" w:cs="宋体" w:hint="eastAsia"/>
                <w:bCs/>
                <w:color w:val="000000"/>
                <w:szCs w:val="21"/>
              </w:rPr>
              <w:t>别</w:t>
            </w:r>
            <w:r>
              <w:rPr>
                <w:rFonts w:ascii="liubingsen" w:eastAsia="liubingsen" w:hAnsi="liubingsen" w:cs="liubingsen" w:hint="eastAsia"/>
                <w:bCs/>
                <w:color w:val="000000"/>
                <w:szCs w:val="21"/>
              </w:rPr>
              <w:t>由各</w:t>
            </w:r>
            <w:r>
              <w:rPr>
                <w:rFonts w:ascii="宋体" w:eastAsia="宋体" w:hAnsi="宋体" w:cs="宋体" w:hint="eastAsia"/>
                <w:bCs/>
                <w:color w:val="000000"/>
                <w:szCs w:val="21"/>
              </w:rPr>
              <w:t>级</w:t>
            </w:r>
            <w:r>
              <w:rPr>
                <w:rFonts w:ascii="liubingsen" w:eastAsia="liubingsen" w:hAnsi="liubingsen" w:cs="liubingsen" w:hint="eastAsia"/>
                <w:bCs/>
                <w:color w:val="000000"/>
                <w:szCs w:val="21"/>
              </w:rPr>
              <w:t>政府及有</w:t>
            </w:r>
            <w:r>
              <w:rPr>
                <w:rFonts w:ascii="宋体" w:eastAsia="宋体" w:hAnsi="宋体" w:cs="宋体" w:hint="eastAsia"/>
                <w:bCs/>
                <w:color w:val="000000"/>
                <w:szCs w:val="21"/>
              </w:rPr>
              <w:t>关</w:t>
            </w:r>
            <w:r>
              <w:rPr>
                <w:rFonts w:ascii="liubingsen" w:eastAsia="liubingsen" w:hAnsi="liubingsen" w:cs="liubingsen" w:hint="eastAsia"/>
                <w:bCs/>
                <w:color w:val="000000"/>
                <w:szCs w:val="21"/>
              </w:rPr>
              <w:t>部</w:t>
            </w:r>
            <w:r>
              <w:rPr>
                <w:rFonts w:ascii="宋体" w:eastAsia="宋体" w:hAnsi="宋体" w:cs="宋体" w:hint="eastAsia"/>
                <w:bCs/>
                <w:color w:val="000000"/>
                <w:szCs w:val="21"/>
              </w:rPr>
              <w:t>门审</w:t>
            </w:r>
            <w:r>
              <w:rPr>
                <w:rFonts w:ascii="liubingsen" w:eastAsia="liubingsen" w:hAnsi="liubingsen" w:cs="liubingsen" w:hint="eastAsia"/>
                <w:bCs/>
                <w:color w:val="000000"/>
                <w:szCs w:val="21"/>
              </w:rPr>
              <w:t>批的企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投</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管理</w:t>
            </w:r>
            <w:r>
              <w:rPr>
                <w:rFonts w:ascii="宋体" w:eastAsia="宋体" w:hAnsi="宋体" w:cs="宋体" w:hint="eastAsia"/>
                <w:bCs/>
                <w:color w:val="000000"/>
                <w:szCs w:val="21"/>
              </w:rPr>
              <w:t>办</w:t>
            </w:r>
            <w:r>
              <w:rPr>
                <w:rFonts w:ascii="liubingsen" w:eastAsia="liubingsen" w:hAnsi="liubingsen" w:cs="liubingsen" w:hint="eastAsia"/>
                <w:bCs/>
                <w:color w:val="000000"/>
                <w:szCs w:val="21"/>
              </w:rPr>
              <w:t>法。</w:t>
            </w:r>
            <w:r>
              <w:rPr>
                <w:rFonts w:ascii="宋体" w:eastAsia="宋体" w:hAnsi="宋体" w:cs="宋体" w:hint="eastAsia"/>
                <w:bCs/>
                <w:color w:val="000000"/>
                <w:szCs w:val="21"/>
              </w:rPr>
              <w:t>对</w:t>
            </w:r>
            <w:r>
              <w:rPr>
                <w:rFonts w:ascii="liubingsen" w:eastAsia="liubingsen" w:hAnsi="liubingsen" w:cs="liubingsen" w:hint="eastAsia"/>
                <w:bCs/>
                <w:color w:val="000000"/>
                <w:szCs w:val="21"/>
              </w:rPr>
              <w:t>于企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不使用政府投</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建</w:t>
            </w:r>
            <w:r>
              <w:rPr>
                <w:rFonts w:ascii="宋体" w:eastAsia="宋体" w:hAnsi="宋体" w:cs="宋体" w:hint="eastAsia"/>
                <w:bCs/>
                <w:color w:val="000000"/>
                <w:szCs w:val="21"/>
              </w:rPr>
              <w:t>设</w:t>
            </w:r>
            <w:r>
              <w:rPr>
                <w:rFonts w:ascii="liubingsen" w:eastAsia="liubingsen" w:hAnsi="liubingsen" w:cs="liubingsen" w:hint="eastAsia"/>
                <w:bCs/>
                <w:color w:val="000000"/>
                <w:szCs w:val="21"/>
              </w:rPr>
              <w:t>的</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目，一律不再</w:t>
            </w:r>
            <w:r>
              <w:rPr>
                <w:rFonts w:ascii="宋体" w:eastAsia="宋体" w:hAnsi="宋体" w:cs="宋体" w:hint="eastAsia"/>
                <w:bCs/>
                <w:color w:val="000000"/>
                <w:szCs w:val="21"/>
              </w:rPr>
              <w:t>实</w:t>
            </w:r>
            <w:r>
              <w:rPr>
                <w:rFonts w:ascii="liubingsen" w:eastAsia="liubingsen" w:hAnsi="liubingsen" w:cs="liubingsen" w:hint="eastAsia"/>
                <w:bCs/>
                <w:color w:val="000000"/>
                <w:szCs w:val="21"/>
              </w:rPr>
              <w:t>行</w:t>
            </w:r>
            <w:r>
              <w:rPr>
                <w:rFonts w:ascii="宋体" w:eastAsia="宋体" w:hAnsi="宋体" w:cs="宋体" w:hint="eastAsia"/>
                <w:bCs/>
                <w:color w:val="000000"/>
                <w:szCs w:val="21"/>
              </w:rPr>
              <w:t>审</w:t>
            </w:r>
            <w:r>
              <w:rPr>
                <w:rFonts w:ascii="liubingsen" w:eastAsia="liubingsen" w:hAnsi="liubingsen" w:cs="liubingsen" w:hint="eastAsia"/>
                <w:bCs/>
                <w:color w:val="000000"/>
                <w:szCs w:val="21"/>
              </w:rPr>
              <w:t>批制，区</w:t>
            </w:r>
            <w:r>
              <w:rPr>
                <w:rFonts w:ascii="宋体" w:eastAsia="宋体" w:hAnsi="宋体" w:cs="宋体" w:hint="eastAsia"/>
                <w:bCs/>
                <w:color w:val="000000"/>
                <w:szCs w:val="21"/>
              </w:rPr>
              <w:t>别</w:t>
            </w:r>
            <w:r>
              <w:rPr>
                <w:rFonts w:ascii="liubingsen" w:eastAsia="liubingsen" w:hAnsi="liubingsen" w:cs="liubingsen" w:hint="eastAsia"/>
                <w:bCs/>
                <w:color w:val="000000"/>
                <w:szCs w:val="21"/>
              </w:rPr>
              <w:t>不同情况</w:t>
            </w:r>
            <w:r>
              <w:rPr>
                <w:rFonts w:ascii="宋体" w:eastAsia="宋体" w:hAnsi="宋体" w:cs="宋体" w:hint="eastAsia"/>
                <w:bCs/>
                <w:color w:val="000000"/>
                <w:szCs w:val="21"/>
              </w:rPr>
              <w:t>实</w:t>
            </w:r>
            <w:r>
              <w:rPr>
                <w:rFonts w:ascii="liubingsen" w:eastAsia="liubingsen" w:hAnsi="liubingsen" w:cs="liubingsen" w:hint="eastAsia"/>
                <w:bCs/>
                <w:color w:val="000000"/>
                <w:szCs w:val="21"/>
              </w:rPr>
              <w:t>行核准制和</w:t>
            </w:r>
            <w:r>
              <w:rPr>
                <w:rFonts w:ascii="宋体" w:eastAsia="宋体" w:hAnsi="宋体" w:cs="宋体" w:hint="eastAsia"/>
                <w:bCs/>
                <w:color w:val="000000"/>
                <w:szCs w:val="21"/>
              </w:rPr>
              <w:t>备</w:t>
            </w:r>
            <w:r>
              <w:rPr>
                <w:rFonts w:ascii="liubingsen" w:eastAsia="liubingsen" w:hAnsi="liubingsen" w:cs="liubingsen" w:hint="eastAsia"/>
                <w:bCs/>
                <w:color w:val="000000"/>
                <w:szCs w:val="21"/>
              </w:rPr>
              <w:t>案制。其中，政府</w:t>
            </w:r>
            <w:r>
              <w:rPr>
                <w:rFonts w:ascii="宋体" w:eastAsia="宋体" w:hAnsi="宋体" w:cs="宋体" w:hint="eastAsia"/>
                <w:bCs/>
                <w:color w:val="000000"/>
                <w:szCs w:val="21"/>
              </w:rPr>
              <w:t>仅对</w:t>
            </w:r>
            <w:r>
              <w:rPr>
                <w:rFonts w:ascii="liubingsen" w:eastAsia="liubingsen" w:hAnsi="liubingsen" w:cs="liubingsen" w:hint="eastAsia"/>
                <w:bCs/>
                <w:color w:val="000000"/>
                <w:szCs w:val="21"/>
              </w:rPr>
              <w:t>重大</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目和限制</w:t>
            </w:r>
            <w:r>
              <w:rPr>
                <w:rFonts w:ascii="宋体" w:eastAsia="宋体" w:hAnsi="宋体" w:cs="宋体" w:hint="eastAsia"/>
                <w:bCs/>
                <w:color w:val="000000"/>
                <w:szCs w:val="21"/>
              </w:rPr>
              <w:t>类项</w:t>
            </w:r>
            <w:r>
              <w:rPr>
                <w:rFonts w:ascii="liubingsen" w:eastAsia="liubingsen" w:hAnsi="liubingsen" w:cs="liubingsen" w:hint="eastAsia"/>
                <w:bCs/>
                <w:color w:val="000000"/>
                <w:szCs w:val="21"/>
              </w:rPr>
              <w:t>目从</w:t>
            </w:r>
            <w:r>
              <w:rPr>
                <w:rFonts w:ascii="宋体" w:eastAsia="宋体" w:hAnsi="宋体" w:cs="宋体" w:hint="eastAsia"/>
                <w:bCs/>
                <w:color w:val="000000"/>
                <w:szCs w:val="21"/>
              </w:rPr>
              <w:t>维护</w:t>
            </w:r>
            <w:r>
              <w:rPr>
                <w:rFonts w:ascii="liubingsen" w:eastAsia="liubingsen" w:hAnsi="liubingsen" w:cs="liubingsen" w:hint="eastAsia"/>
                <w:bCs/>
                <w:color w:val="000000"/>
                <w:szCs w:val="21"/>
              </w:rPr>
              <w:t>社会公共利益角度</w:t>
            </w:r>
            <w:r>
              <w:rPr>
                <w:rFonts w:ascii="宋体" w:eastAsia="宋体" w:hAnsi="宋体" w:cs="宋体" w:hint="eastAsia"/>
                <w:bCs/>
                <w:color w:val="000000"/>
                <w:szCs w:val="21"/>
              </w:rPr>
              <w:t>进</w:t>
            </w:r>
            <w:r>
              <w:rPr>
                <w:rFonts w:ascii="liubingsen" w:eastAsia="liubingsen" w:hAnsi="liubingsen" w:cs="liubingsen" w:hint="eastAsia"/>
                <w:bCs/>
                <w:color w:val="000000"/>
                <w:szCs w:val="21"/>
              </w:rPr>
              <w:t>行核准，其他</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w:t>
            </w:r>
            <w:r>
              <w:rPr>
                <w:rFonts w:ascii="宋体" w:eastAsia="宋体" w:hAnsi="宋体" w:cs="宋体" w:hint="eastAsia"/>
                <w:bCs/>
                <w:color w:val="000000"/>
                <w:szCs w:val="21"/>
              </w:rPr>
              <w:t>无论规</w:t>
            </w:r>
            <w:r>
              <w:rPr>
                <w:rFonts w:ascii="liubingsen" w:eastAsia="liubingsen" w:hAnsi="liubingsen" w:cs="liubingsen" w:hint="eastAsia"/>
                <w:bCs/>
                <w:color w:val="000000"/>
                <w:szCs w:val="21"/>
              </w:rPr>
              <w:t>模大小，均改</w:t>
            </w:r>
            <w:r>
              <w:rPr>
                <w:rFonts w:ascii="宋体" w:eastAsia="宋体" w:hAnsi="宋体" w:cs="宋体" w:hint="eastAsia"/>
                <w:bCs/>
                <w:color w:val="000000"/>
                <w:szCs w:val="21"/>
              </w:rPr>
              <w:t>为备</w:t>
            </w:r>
            <w:r>
              <w:rPr>
                <w:rFonts w:ascii="liubingsen" w:eastAsia="liubingsen" w:hAnsi="liubingsen" w:cs="liubingsen" w:hint="eastAsia"/>
                <w:bCs/>
                <w:color w:val="000000"/>
                <w:szCs w:val="21"/>
              </w:rPr>
              <w:t>案制，</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目的市</w:t>
            </w:r>
            <w:r>
              <w:rPr>
                <w:rFonts w:ascii="宋体" w:eastAsia="宋体" w:hAnsi="宋体" w:cs="宋体" w:hint="eastAsia"/>
                <w:bCs/>
                <w:color w:val="000000"/>
                <w:szCs w:val="21"/>
              </w:rPr>
              <w:t>场</w:t>
            </w:r>
            <w:r>
              <w:rPr>
                <w:rFonts w:ascii="liubingsen" w:eastAsia="liubingsen" w:hAnsi="liubingsen" w:cs="liubingsen" w:hint="eastAsia"/>
                <w:bCs/>
                <w:color w:val="000000"/>
                <w:szCs w:val="21"/>
              </w:rPr>
              <w:t>前景、</w:t>
            </w:r>
            <w:r>
              <w:rPr>
                <w:rFonts w:ascii="宋体" w:eastAsia="宋体" w:hAnsi="宋体" w:cs="宋体" w:hint="eastAsia"/>
                <w:bCs/>
                <w:color w:val="000000"/>
                <w:szCs w:val="21"/>
              </w:rPr>
              <w:t>经济效</w:t>
            </w:r>
            <w:r>
              <w:rPr>
                <w:rFonts w:ascii="liubingsen" w:eastAsia="liubingsen" w:hAnsi="liubingsen" w:cs="liubingsen" w:hint="eastAsia"/>
                <w:bCs/>
                <w:color w:val="000000"/>
                <w:szCs w:val="21"/>
              </w:rPr>
              <w:t>益、</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金来源和</w:t>
            </w:r>
            <w:r>
              <w:rPr>
                <w:rFonts w:ascii="宋体" w:eastAsia="宋体" w:hAnsi="宋体" w:cs="宋体" w:hint="eastAsia"/>
                <w:bCs/>
                <w:color w:val="000000"/>
                <w:szCs w:val="21"/>
              </w:rPr>
              <w:t>产</w:t>
            </w:r>
            <w:r>
              <w:rPr>
                <w:rFonts w:ascii="liubingsen" w:eastAsia="liubingsen" w:hAnsi="liubingsen" w:cs="liubingsen" w:hint="eastAsia"/>
                <w:bCs/>
                <w:color w:val="000000"/>
                <w:szCs w:val="21"/>
              </w:rPr>
              <w:t>品技</w:t>
            </w:r>
            <w:r>
              <w:rPr>
                <w:rFonts w:ascii="宋体" w:eastAsia="宋体" w:hAnsi="宋体" w:cs="宋体" w:hint="eastAsia"/>
                <w:bCs/>
                <w:color w:val="000000"/>
                <w:szCs w:val="21"/>
              </w:rPr>
              <w:t>术</w:t>
            </w:r>
            <w:r>
              <w:rPr>
                <w:rFonts w:ascii="liubingsen" w:eastAsia="liubingsen" w:hAnsi="liubingsen" w:cs="liubingsen" w:hint="eastAsia"/>
                <w:bCs/>
                <w:color w:val="000000"/>
                <w:szCs w:val="21"/>
              </w:rPr>
              <w:t>方案等均由企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自主决策、自担</w:t>
            </w:r>
            <w:r>
              <w:rPr>
                <w:rFonts w:ascii="宋体" w:eastAsia="宋体" w:hAnsi="宋体" w:cs="宋体" w:hint="eastAsia"/>
                <w:bCs/>
                <w:color w:val="000000"/>
                <w:szCs w:val="21"/>
              </w:rPr>
              <w:t>风险</w:t>
            </w:r>
            <w:r>
              <w:rPr>
                <w:rFonts w:ascii="liubingsen" w:eastAsia="liubingsen" w:hAnsi="liubingsen" w:cs="liubingsen" w:hint="eastAsia"/>
                <w:bCs/>
                <w:color w:val="000000"/>
                <w:szCs w:val="21"/>
              </w:rPr>
              <w:t>，</w:t>
            </w:r>
            <w:r>
              <w:rPr>
                <w:rFonts w:ascii="宋体" w:eastAsia="宋体" w:hAnsi="宋体" w:cs="宋体" w:hint="eastAsia"/>
                <w:bCs/>
                <w:color w:val="000000"/>
                <w:szCs w:val="21"/>
              </w:rPr>
              <w:t>并</w:t>
            </w:r>
            <w:r>
              <w:rPr>
                <w:rFonts w:ascii="liubingsen" w:eastAsia="liubingsen" w:hAnsi="liubingsen" w:cs="liubingsen" w:hint="eastAsia"/>
                <w:bCs/>
                <w:color w:val="000000"/>
                <w:szCs w:val="21"/>
              </w:rPr>
              <w:t>依法</w:t>
            </w:r>
            <w:r>
              <w:rPr>
                <w:rFonts w:ascii="宋体" w:eastAsia="宋体" w:hAnsi="宋体" w:cs="宋体" w:hint="eastAsia"/>
                <w:bCs/>
                <w:color w:val="000000"/>
                <w:szCs w:val="21"/>
              </w:rPr>
              <w:t>办</w:t>
            </w:r>
            <w:r>
              <w:rPr>
                <w:rFonts w:ascii="liubingsen" w:eastAsia="liubingsen" w:hAnsi="liubingsen" w:cs="liubingsen" w:hint="eastAsia"/>
                <w:bCs/>
                <w:color w:val="000000"/>
                <w:szCs w:val="21"/>
              </w:rPr>
              <w:t>理</w:t>
            </w:r>
            <w:r>
              <w:rPr>
                <w:rFonts w:ascii="宋体" w:eastAsia="宋体" w:hAnsi="宋体" w:cs="宋体" w:hint="eastAsia"/>
                <w:bCs/>
                <w:color w:val="000000"/>
                <w:szCs w:val="21"/>
              </w:rPr>
              <w:t>环</w:t>
            </w:r>
            <w:r>
              <w:rPr>
                <w:rFonts w:ascii="liubingsen" w:eastAsia="liubingsen" w:hAnsi="liubingsen" w:cs="liubingsen" w:hint="eastAsia"/>
                <w:bCs/>
                <w:color w:val="000000"/>
                <w:szCs w:val="21"/>
              </w:rPr>
              <w:t>境保</w:t>
            </w:r>
            <w:r>
              <w:rPr>
                <w:rFonts w:ascii="宋体" w:eastAsia="宋体" w:hAnsi="宋体" w:cs="宋体" w:hint="eastAsia"/>
                <w:bCs/>
                <w:color w:val="000000"/>
                <w:szCs w:val="21"/>
              </w:rPr>
              <w:t>护</w:t>
            </w:r>
            <w:r>
              <w:rPr>
                <w:rFonts w:ascii="liubingsen" w:eastAsia="liubingsen" w:hAnsi="liubingsen" w:cs="liubingsen" w:hint="eastAsia"/>
                <w:bCs/>
                <w:color w:val="000000"/>
                <w:szCs w:val="21"/>
              </w:rPr>
              <w:t>、土地使用、</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源利用、安全生</w:t>
            </w:r>
            <w:r>
              <w:rPr>
                <w:rFonts w:ascii="宋体" w:eastAsia="宋体" w:hAnsi="宋体" w:cs="宋体" w:hint="eastAsia"/>
                <w:bCs/>
                <w:color w:val="000000"/>
                <w:szCs w:val="21"/>
              </w:rPr>
              <w:t>产</w:t>
            </w:r>
            <w:r>
              <w:rPr>
                <w:rFonts w:ascii="liubingsen" w:eastAsia="liubingsen" w:hAnsi="liubingsen" w:cs="liubingsen" w:hint="eastAsia"/>
                <w:bCs/>
                <w:color w:val="000000"/>
                <w:szCs w:val="21"/>
              </w:rPr>
              <w:t>、城市</w:t>
            </w:r>
            <w:r>
              <w:rPr>
                <w:rFonts w:ascii="宋体" w:eastAsia="宋体" w:hAnsi="宋体" w:cs="宋体" w:hint="eastAsia"/>
                <w:bCs/>
                <w:color w:val="000000"/>
                <w:szCs w:val="21"/>
              </w:rPr>
              <w:t>规划</w:t>
            </w:r>
            <w:r>
              <w:rPr>
                <w:rFonts w:ascii="liubingsen" w:eastAsia="liubingsen" w:hAnsi="liubingsen" w:cs="liubingsen" w:hint="eastAsia"/>
                <w:bCs/>
                <w:color w:val="000000"/>
                <w:szCs w:val="21"/>
              </w:rPr>
              <w:t>等</w:t>
            </w:r>
            <w:r>
              <w:rPr>
                <w:rFonts w:ascii="宋体" w:eastAsia="宋体" w:hAnsi="宋体" w:cs="宋体" w:hint="eastAsia"/>
                <w:bCs/>
                <w:color w:val="000000"/>
                <w:szCs w:val="21"/>
              </w:rPr>
              <w:t>许</w:t>
            </w:r>
            <w:r>
              <w:rPr>
                <w:rFonts w:ascii="liubingsen" w:eastAsia="liubingsen" w:hAnsi="liubingsen" w:cs="liubingsen" w:hint="eastAsia"/>
                <w:bCs/>
                <w:color w:val="000000"/>
                <w:szCs w:val="21"/>
              </w:rPr>
              <w:t>可手</w:t>
            </w:r>
            <w:r>
              <w:rPr>
                <w:rFonts w:ascii="宋体" w:eastAsia="宋体" w:hAnsi="宋体" w:cs="宋体" w:hint="eastAsia"/>
                <w:bCs/>
                <w:color w:val="000000"/>
                <w:szCs w:val="21"/>
              </w:rPr>
              <w:t>续</w:t>
            </w:r>
            <w:r>
              <w:rPr>
                <w:rFonts w:ascii="liubingsen" w:eastAsia="liubingsen" w:hAnsi="liubingsen" w:cs="liubingsen" w:hint="eastAsia"/>
                <w:bCs/>
                <w:color w:val="000000"/>
                <w:szCs w:val="21"/>
              </w:rPr>
              <w:t>和</w:t>
            </w:r>
            <w:r>
              <w:rPr>
                <w:rFonts w:ascii="宋体" w:eastAsia="宋体" w:hAnsi="宋体" w:cs="宋体" w:hint="eastAsia"/>
                <w:bCs/>
                <w:color w:val="000000"/>
                <w:szCs w:val="21"/>
              </w:rPr>
              <w:t>减</w:t>
            </w:r>
            <w:r>
              <w:rPr>
                <w:rFonts w:ascii="liubingsen" w:eastAsia="liubingsen" w:hAnsi="liubingsen" w:cs="liubingsen" w:hint="eastAsia"/>
                <w:bCs/>
                <w:color w:val="000000"/>
                <w:szCs w:val="21"/>
              </w:rPr>
              <w:t>免税</w:t>
            </w:r>
            <w:r>
              <w:rPr>
                <w:rFonts w:ascii="宋体" w:eastAsia="宋体" w:hAnsi="宋体" w:cs="宋体" w:hint="eastAsia"/>
                <w:bCs/>
                <w:color w:val="000000"/>
                <w:szCs w:val="21"/>
              </w:rPr>
              <w:t>确认</w:t>
            </w:r>
            <w:r>
              <w:rPr>
                <w:rFonts w:ascii="liubingsen" w:eastAsia="liubingsen" w:hAnsi="liubingsen" w:cs="liubingsen" w:hint="eastAsia"/>
                <w:bCs/>
                <w:color w:val="000000"/>
                <w:szCs w:val="21"/>
              </w:rPr>
              <w:t>手</w:t>
            </w:r>
            <w:r>
              <w:rPr>
                <w:rFonts w:ascii="宋体" w:eastAsia="宋体" w:hAnsi="宋体" w:cs="宋体" w:hint="eastAsia"/>
                <w:bCs/>
                <w:color w:val="000000"/>
                <w:szCs w:val="21"/>
              </w:rPr>
              <w:t>续</w:t>
            </w:r>
            <w:r>
              <w:rPr>
                <w:rFonts w:ascii="liubingsen" w:eastAsia="liubingsen" w:hAnsi="liubingsen" w:cs="liubingsen" w:hint="eastAsia"/>
                <w:bCs/>
                <w:color w:val="000000"/>
                <w:szCs w:val="21"/>
              </w:rPr>
              <w:t>。</w:t>
            </w:r>
            <w:r>
              <w:rPr>
                <w:rFonts w:ascii="宋体" w:eastAsia="宋体" w:hAnsi="宋体" w:cs="宋体" w:hint="eastAsia"/>
                <w:bCs/>
                <w:color w:val="000000"/>
                <w:szCs w:val="21"/>
              </w:rPr>
              <w:t>对</w:t>
            </w:r>
            <w:r>
              <w:rPr>
                <w:rFonts w:ascii="liubingsen" w:eastAsia="liubingsen" w:hAnsi="liubingsen" w:cs="liubingsen" w:hint="eastAsia"/>
                <w:bCs/>
                <w:color w:val="000000"/>
                <w:szCs w:val="21"/>
              </w:rPr>
              <w:t>于企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使用政府</w:t>
            </w:r>
            <w:r>
              <w:rPr>
                <w:rFonts w:ascii="宋体" w:eastAsia="宋体" w:hAnsi="宋体" w:cs="宋体" w:hint="eastAsia"/>
                <w:bCs/>
                <w:color w:val="000000"/>
                <w:szCs w:val="21"/>
              </w:rPr>
              <w:t>补</w:t>
            </w:r>
            <w:r>
              <w:rPr>
                <w:rFonts w:ascii="liubingsen" w:eastAsia="liubingsen" w:hAnsi="liubingsen" w:cs="liubingsen" w:hint="eastAsia"/>
                <w:bCs/>
                <w:color w:val="000000"/>
                <w:szCs w:val="21"/>
              </w:rPr>
              <w:t>助、</w:t>
            </w:r>
            <w:r>
              <w:rPr>
                <w:rFonts w:ascii="宋体" w:eastAsia="宋体" w:hAnsi="宋体" w:cs="宋体" w:hint="eastAsia"/>
                <w:bCs/>
                <w:color w:val="000000"/>
                <w:szCs w:val="21"/>
              </w:rPr>
              <w:t>转贷</w:t>
            </w:r>
            <w:r>
              <w:rPr>
                <w:rFonts w:ascii="liubingsen" w:eastAsia="liubingsen" w:hAnsi="liubingsen" w:cs="liubingsen" w:hint="eastAsia"/>
                <w:bCs/>
                <w:color w:val="000000"/>
                <w:szCs w:val="21"/>
              </w:rPr>
              <w:t>、</w:t>
            </w:r>
            <w:r>
              <w:rPr>
                <w:rFonts w:ascii="宋体" w:eastAsia="宋体" w:hAnsi="宋体" w:cs="宋体" w:hint="eastAsia"/>
                <w:bCs/>
                <w:color w:val="000000"/>
                <w:szCs w:val="21"/>
              </w:rPr>
              <w:t>贴</w:t>
            </w:r>
            <w:r>
              <w:rPr>
                <w:rFonts w:ascii="liubingsen" w:eastAsia="liubingsen" w:hAnsi="liubingsen" w:cs="liubingsen" w:hint="eastAsia"/>
                <w:bCs/>
                <w:color w:val="000000"/>
                <w:szCs w:val="21"/>
              </w:rPr>
              <w:t>息投</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建</w:t>
            </w:r>
            <w:r>
              <w:rPr>
                <w:rFonts w:ascii="宋体" w:eastAsia="宋体" w:hAnsi="宋体" w:cs="宋体" w:hint="eastAsia"/>
                <w:bCs/>
                <w:color w:val="000000"/>
                <w:szCs w:val="21"/>
              </w:rPr>
              <w:t>设</w:t>
            </w:r>
            <w:r>
              <w:rPr>
                <w:rFonts w:ascii="liubingsen" w:eastAsia="liubingsen" w:hAnsi="liubingsen" w:cs="liubingsen" w:hint="eastAsia"/>
                <w:bCs/>
                <w:color w:val="000000"/>
                <w:szCs w:val="21"/>
              </w:rPr>
              <w:t>的</w:t>
            </w:r>
            <w:r>
              <w:rPr>
                <w:rFonts w:ascii="宋体" w:eastAsia="宋体" w:hAnsi="宋体" w:cs="宋体" w:hint="eastAsia"/>
                <w:bCs/>
                <w:color w:val="000000"/>
                <w:szCs w:val="21"/>
              </w:rPr>
              <w:t>项</w:t>
            </w:r>
            <w:r>
              <w:rPr>
                <w:rFonts w:ascii="liubingsen" w:eastAsia="liubingsen" w:hAnsi="liubingsen" w:cs="liubingsen" w:hint="eastAsia"/>
                <w:bCs/>
                <w:color w:val="000000"/>
                <w:szCs w:val="21"/>
              </w:rPr>
              <w:t>目，政府只</w:t>
            </w:r>
            <w:r>
              <w:rPr>
                <w:rFonts w:ascii="宋体" w:eastAsia="宋体" w:hAnsi="宋体" w:cs="宋体" w:hint="eastAsia"/>
                <w:bCs/>
                <w:color w:val="000000"/>
                <w:szCs w:val="21"/>
              </w:rPr>
              <w:t>审</w:t>
            </w:r>
            <w:r>
              <w:rPr>
                <w:rFonts w:ascii="liubingsen" w:eastAsia="liubingsen" w:hAnsi="liubingsen" w:cs="liubingsen" w:hint="eastAsia"/>
                <w:bCs/>
                <w:color w:val="000000"/>
                <w:szCs w:val="21"/>
              </w:rPr>
              <w:t>批</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金申</w:t>
            </w:r>
            <w:r>
              <w:rPr>
                <w:rFonts w:ascii="宋体" w:eastAsia="宋体" w:hAnsi="宋体" w:cs="宋体" w:hint="eastAsia"/>
                <w:bCs/>
                <w:color w:val="000000"/>
                <w:szCs w:val="21"/>
              </w:rPr>
              <w:t>请报</w:t>
            </w:r>
            <w:r>
              <w:rPr>
                <w:rFonts w:ascii="liubingsen" w:eastAsia="liubingsen" w:hAnsi="liubingsen" w:cs="liubingsen" w:hint="eastAsia"/>
                <w:bCs/>
                <w:color w:val="000000"/>
                <w:szCs w:val="21"/>
              </w:rPr>
              <w:t>告。各地区、各部</w:t>
            </w:r>
            <w:r>
              <w:rPr>
                <w:rFonts w:ascii="宋体" w:eastAsia="宋体" w:hAnsi="宋体" w:cs="宋体" w:hint="eastAsia"/>
                <w:bCs/>
                <w:color w:val="000000"/>
                <w:szCs w:val="21"/>
              </w:rPr>
              <w:t>门</w:t>
            </w:r>
            <w:r>
              <w:rPr>
                <w:rFonts w:ascii="liubingsen" w:eastAsia="liubingsen" w:hAnsi="liubingsen" w:cs="liubingsen" w:hint="eastAsia"/>
                <w:bCs/>
                <w:color w:val="000000"/>
                <w:szCs w:val="21"/>
              </w:rPr>
              <w:t>要相</w:t>
            </w:r>
            <w:r>
              <w:rPr>
                <w:rFonts w:ascii="宋体" w:eastAsia="宋体" w:hAnsi="宋体" w:cs="宋体" w:hint="eastAsia"/>
                <w:bCs/>
                <w:color w:val="000000"/>
                <w:szCs w:val="21"/>
              </w:rPr>
              <w:t>应</w:t>
            </w:r>
            <w:r>
              <w:rPr>
                <w:rFonts w:ascii="liubingsen" w:eastAsia="liubingsen" w:hAnsi="liubingsen" w:cs="liubingsen" w:hint="eastAsia"/>
                <w:bCs/>
                <w:color w:val="000000"/>
                <w:szCs w:val="21"/>
              </w:rPr>
              <w:t>改</w:t>
            </w:r>
            <w:r>
              <w:rPr>
                <w:rFonts w:ascii="宋体" w:eastAsia="宋体" w:hAnsi="宋体" w:cs="宋体" w:hint="eastAsia"/>
                <w:bCs/>
                <w:color w:val="000000"/>
                <w:szCs w:val="21"/>
              </w:rPr>
              <w:t>进</w:t>
            </w:r>
            <w:r>
              <w:rPr>
                <w:rFonts w:ascii="liubingsen" w:eastAsia="liubingsen" w:hAnsi="liubingsen" w:cs="liubingsen" w:hint="eastAsia"/>
                <w:bCs/>
                <w:color w:val="000000"/>
                <w:szCs w:val="21"/>
              </w:rPr>
              <w:t>管理</w:t>
            </w:r>
            <w:r>
              <w:rPr>
                <w:rFonts w:ascii="宋体" w:eastAsia="宋体" w:hAnsi="宋体" w:cs="宋体" w:hint="eastAsia"/>
                <w:bCs/>
                <w:color w:val="000000"/>
                <w:szCs w:val="21"/>
              </w:rPr>
              <w:t>办</w:t>
            </w:r>
            <w:r>
              <w:rPr>
                <w:rFonts w:ascii="liubingsen" w:eastAsia="liubingsen" w:hAnsi="liubingsen" w:cs="liubingsen" w:hint="eastAsia"/>
                <w:bCs/>
                <w:color w:val="000000"/>
                <w:szCs w:val="21"/>
              </w:rPr>
              <w:t>法，</w:t>
            </w:r>
            <w:r>
              <w:rPr>
                <w:rFonts w:ascii="宋体" w:eastAsia="宋体" w:hAnsi="宋体" w:cs="宋体" w:hint="eastAsia"/>
                <w:bCs/>
                <w:color w:val="000000"/>
                <w:szCs w:val="21"/>
              </w:rPr>
              <w:t>规范</w:t>
            </w:r>
            <w:r>
              <w:rPr>
                <w:rFonts w:ascii="liubingsen" w:eastAsia="liubingsen" w:hAnsi="liubingsen" w:cs="liubingsen" w:hint="eastAsia"/>
                <w:bCs/>
                <w:color w:val="000000"/>
                <w:szCs w:val="21"/>
              </w:rPr>
              <w:t>管理行</w:t>
            </w:r>
            <w:r>
              <w:rPr>
                <w:rFonts w:ascii="宋体" w:eastAsia="宋体" w:hAnsi="宋体" w:cs="宋体" w:hint="eastAsia"/>
                <w:bCs/>
                <w:color w:val="000000"/>
                <w:szCs w:val="21"/>
              </w:rPr>
              <w:t>为</w:t>
            </w:r>
            <w:r>
              <w:rPr>
                <w:rFonts w:ascii="liubingsen" w:eastAsia="liubingsen" w:hAnsi="liubingsen" w:cs="liubingsen" w:hint="eastAsia"/>
                <w:bCs/>
                <w:color w:val="000000"/>
                <w:szCs w:val="21"/>
              </w:rPr>
              <w:t>，不得以任何名</w:t>
            </w:r>
            <w:r>
              <w:rPr>
                <w:rFonts w:ascii="宋体" w:eastAsia="宋体" w:hAnsi="宋体" w:cs="宋体" w:hint="eastAsia"/>
                <w:bCs/>
                <w:color w:val="000000"/>
                <w:szCs w:val="21"/>
              </w:rPr>
              <w:t>义截</w:t>
            </w:r>
            <w:r>
              <w:rPr>
                <w:rFonts w:ascii="liubingsen" w:eastAsia="liubingsen" w:hAnsi="liubingsen" w:cs="liubingsen" w:hint="eastAsia"/>
                <w:bCs/>
                <w:color w:val="000000"/>
                <w:szCs w:val="21"/>
              </w:rPr>
              <w:t>留下放</w:t>
            </w:r>
            <w:r>
              <w:rPr>
                <w:rFonts w:ascii="宋体" w:eastAsia="宋体" w:hAnsi="宋体" w:cs="宋体" w:hint="eastAsia"/>
                <w:bCs/>
                <w:color w:val="000000"/>
                <w:szCs w:val="21"/>
              </w:rPr>
              <w:t>给</w:t>
            </w:r>
            <w:r>
              <w:rPr>
                <w:rFonts w:ascii="liubingsen" w:eastAsia="liubingsen" w:hAnsi="liubingsen" w:cs="liubingsen" w:hint="eastAsia"/>
                <w:bCs/>
                <w:color w:val="000000"/>
                <w:szCs w:val="21"/>
              </w:rPr>
              <w:t>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的投</w:t>
            </w:r>
            <w:r>
              <w:rPr>
                <w:rFonts w:ascii="宋体" w:eastAsia="宋体" w:hAnsi="宋体" w:cs="宋体" w:hint="eastAsia"/>
                <w:bCs/>
                <w:color w:val="000000"/>
                <w:szCs w:val="21"/>
              </w:rPr>
              <w:t>资</w:t>
            </w:r>
            <w:r>
              <w:rPr>
                <w:rFonts w:ascii="liubingsen" w:eastAsia="liubingsen" w:hAnsi="liubingsen" w:cs="liubingsen" w:hint="eastAsia"/>
                <w:bCs/>
                <w:color w:val="000000"/>
                <w:szCs w:val="21"/>
              </w:rPr>
              <w:t>决策</w:t>
            </w:r>
            <w:r>
              <w:rPr>
                <w:rFonts w:ascii="宋体" w:eastAsia="宋体" w:hAnsi="宋体" w:cs="宋体" w:hint="eastAsia"/>
                <w:bCs/>
                <w:color w:val="000000"/>
                <w:szCs w:val="21"/>
              </w:rPr>
              <w:t>权</w:t>
            </w:r>
            <w:r>
              <w:rPr>
                <w:rFonts w:ascii="liubingsen" w:eastAsia="liubingsen" w:hAnsi="liubingsen" w:cs="liubingsen" w:hint="eastAsia"/>
                <w:bCs/>
                <w:color w:val="000000"/>
                <w:szCs w:val="21"/>
              </w:rPr>
              <w:t>利。</w:t>
            </w:r>
          </w:p>
        </w:tc>
        <w:tc>
          <w:tcPr>
            <w:tcW w:w="1434" w:type="dxa"/>
            <w:tcBorders>
              <w:top w:val="single" w:sz="4" w:space="0" w:color="auto"/>
              <w:left w:val="single" w:sz="4" w:space="0" w:color="auto"/>
              <w:bottom w:val="single" w:sz="4" w:space="0" w:color="auto"/>
              <w:right w:val="single" w:sz="4" w:space="0" w:color="auto"/>
            </w:tcBorders>
            <w:vAlign w:val="center"/>
          </w:tcPr>
          <w:p w:rsidR="00A568FA" w:rsidRDefault="00A568FA">
            <w:pPr>
              <w:spacing w:line="260" w:lineRule="exact"/>
              <w:jc w:val="both"/>
              <w:rPr>
                <w:bCs/>
                <w:color w:val="000000"/>
                <w:sz w:val="21"/>
                <w:szCs w:val="21"/>
              </w:rPr>
            </w:pPr>
          </w:p>
        </w:tc>
      </w:tr>
      <w:tr w:rsidR="00A568FA" w:rsidTr="00A568FA">
        <w:trPr>
          <w:trHeight w:val="2024"/>
        </w:trPr>
        <w:tc>
          <w:tcPr>
            <w:tcW w:w="728" w:type="dxa"/>
            <w:tcBorders>
              <w:top w:val="single" w:sz="4" w:space="0" w:color="auto"/>
              <w:left w:val="single" w:sz="4" w:space="0" w:color="auto"/>
              <w:bottom w:val="single" w:sz="4" w:space="0" w:color="auto"/>
              <w:right w:val="single" w:sz="4" w:space="0" w:color="auto"/>
            </w:tcBorders>
            <w:vAlign w:val="center"/>
          </w:tcPr>
          <w:p w:rsidR="00A568FA" w:rsidRDefault="00A568FA" w:rsidP="00A568FA">
            <w:pPr>
              <w:numPr>
                <w:ilvl w:val="0"/>
                <w:numId w:val="1"/>
              </w:numPr>
              <w:adjustRightInd/>
              <w:snapToGrid/>
              <w:spacing w:after="0" w:line="260" w:lineRule="exact"/>
              <w:jc w:val="center"/>
              <w:rPr>
                <w:bCs/>
                <w:color w:val="000000"/>
                <w:sz w:val="21"/>
                <w:szCs w:val="21"/>
              </w:rPr>
            </w:pPr>
          </w:p>
        </w:tc>
        <w:tc>
          <w:tcPr>
            <w:tcW w:w="282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bCs/>
                <w:color w:val="000000"/>
                <w:sz w:val="21"/>
                <w:szCs w:val="21"/>
              </w:rPr>
            </w:pPr>
            <w:r>
              <w:rPr>
                <w:rFonts w:hAnsi="宋体" w:hint="eastAsia"/>
                <w:bCs/>
                <w:color w:val="000000"/>
                <w:szCs w:val="21"/>
              </w:rPr>
              <w:t>企</w:t>
            </w:r>
            <w:r>
              <w:rPr>
                <w:rFonts w:ascii="宋体" w:eastAsia="宋体" w:hAnsi="宋体" w:cs="宋体" w:hint="eastAsia"/>
                <w:bCs/>
                <w:color w:val="000000"/>
                <w:szCs w:val="21"/>
              </w:rPr>
              <w:t>业</w:t>
            </w:r>
            <w:r>
              <w:rPr>
                <w:rFonts w:ascii="liubingsen" w:eastAsia="liubingsen" w:hAnsi="liubingsen" w:cs="liubingsen" w:hint="eastAsia"/>
                <w:bCs/>
                <w:color w:val="000000"/>
                <w:szCs w:val="21"/>
              </w:rPr>
              <w:t>投</w:t>
            </w:r>
            <w:r>
              <w:rPr>
                <w:rFonts w:ascii="宋体" w:eastAsia="宋体" w:hAnsi="宋体" w:cs="宋体" w:hint="eastAsia"/>
                <w:bCs/>
                <w:color w:val="000000"/>
                <w:szCs w:val="21"/>
              </w:rPr>
              <w:t>资项</w:t>
            </w:r>
            <w:r>
              <w:rPr>
                <w:rFonts w:ascii="liubingsen" w:eastAsia="liubingsen" w:hAnsi="liubingsen" w:cs="liubingsen" w:hint="eastAsia"/>
                <w:bCs/>
                <w:color w:val="000000"/>
                <w:szCs w:val="21"/>
              </w:rPr>
              <w:t>目</w:t>
            </w:r>
            <w:r>
              <w:rPr>
                <w:rFonts w:ascii="宋体" w:eastAsia="宋体" w:hAnsi="宋体" w:cs="宋体" w:hint="eastAsia"/>
                <w:bCs/>
                <w:color w:val="000000"/>
                <w:szCs w:val="21"/>
              </w:rPr>
              <w:t>备</w:t>
            </w:r>
            <w:r>
              <w:rPr>
                <w:rFonts w:ascii="liubingsen" w:eastAsia="liubingsen" w:hAnsi="liubingsen" w:cs="liubingsen" w:hint="eastAsia"/>
                <w:bCs/>
                <w:color w:val="000000"/>
                <w:szCs w:val="21"/>
              </w:rPr>
              <w:t>案</w:t>
            </w:r>
          </w:p>
        </w:tc>
        <w:tc>
          <w:tcPr>
            <w:tcW w:w="742"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bCs/>
                <w:color w:val="000000"/>
                <w:sz w:val="21"/>
                <w:szCs w:val="21"/>
              </w:rPr>
            </w:pPr>
            <w:r>
              <w:rPr>
                <w:rFonts w:hAnsi="宋体" w:hint="eastAsia"/>
                <w:bCs/>
                <w:color w:val="000000"/>
                <w:szCs w:val="21"/>
              </w:rPr>
              <w:t>其他行政</w:t>
            </w:r>
            <w:r>
              <w:rPr>
                <w:rFonts w:ascii="宋体" w:eastAsia="宋体" w:hAnsi="宋体" w:cs="宋体" w:hint="eastAsia"/>
                <w:bCs/>
                <w:color w:val="000000"/>
                <w:szCs w:val="21"/>
              </w:rPr>
              <w:t>权</w:t>
            </w:r>
            <w:r>
              <w:rPr>
                <w:rFonts w:ascii="liubingsen" w:eastAsia="liubingsen" w:hAnsi="liubingsen" w:cs="liubingsen" w:hint="eastAsia"/>
                <w:bCs/>
                <w:color w:val="000000"/>
                <w:szCs w:val="21"/>
              </w:rPr>
              <w:t>利</w:t>
            </w:r>
          </w:p>
        </w:tc>
        <w:tc>
          <w:tcPr>
            <w:tcW w:w="841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spacing w:line="260" w:lineRule="exact"/>
              <w:ind w:firstLineChars="150" w:firstLine="330"/>
              <w:jc w:val="both"/>
              <w:rPr>
                <w:bCs/>
                <w:color w:val="000000"/>
                <w:sz w:val="21"/>
                <w:szCs w:val="21"/>
              </w:rPr>
            </w:pPr>
            <w:r>
              <w:rPr>
                <w:rFonts w:ascii="仿宋" w:eastAsia="仿宋" w:hAnsi="仿宋" w:hint="eastAsia"/>
                <w:szCs w:val="23"/>
              </w:rPr>
              <w:t>《国务院关于投资体制改革的决定》（国发〔2004〕20号）：“二、转变政府管理职能，确立企业的投资主体地位”之“（三）健全备案制。对于</w:t>
            </w:r>
            <w:r>
              <w:rPr>
                <w:rFonts w:ascii="仿宋" w:eastAsia="仿宋" w:hAnsi="仿宋" w:hint="eastAsia"/>
              </w:rPr>
              <w:t>《&lt;湖南省政府核准的投资项目目录（2017年本）&gt;的通知》（湘政发〔2017〕21号）</w:t>
            </w:r>
            <w:r>
              <w:rPr>
                <w:rFonts w:ascii="仿宋" w:eastAsia="仿宋" w:hAnsi="仿宋" w:hint="eastAsia"/>
                <w:szCs w:val="23"/>
              </w:rPr>
              <w:t>以外的企业投资项目，实行备案制，除国家另有规定外，由企业按照属地原则向地方政府投资主管部门备案。</w:t>
            </w:r>
          </w:p>
        </w:tc>
        <w:tc>
          <w:tcPr>
            <w:tcW w:w="1434" w:type="dxa"/>
            <w:tcBorders>
              <w:top w:val="single" w:sz="4" w:space="0" w:color="auto"/>
              <w:left w:val="single" w:sz="4" w:space="0" w:color="auto"/>
              <w:bottom w:val="single" w:sz="4" w:space="0" w:color="auto"/>
              <w:right w:val="single" w:sz="4" w:space="0" w:color="auto"/>
            </w:tcBorders>
            <w:vAlign w:val="center"/>
          </w:tcPr>
          <w:p w:rsidR="00A568FA" w:rsidRDefault="00A568FA">
            <w:pPr>
              <w:spacing w:line="260" w:lineRule="exact"/>
              <w:jc w:val="both"/>
              <w:rPr>
                <w:bCs/>
                <w:color w:val="000000"/>
                <w:sz w:val="21"/>
                <w:szCs w:val="21"/>
              </w:rPr>
            </w:pPr>
          </w:p>
        </w:tc>
      </w:tr>
    </w:tbl>
    <w:p w:rsidR="00A568FA" w:rsidRDefault="00A568FA"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hint="eastAsia"/>
          <w:kern w:val="2"/>
          <w:sz w:val="32"/>
          <w:szCs w:val="32"/>
        </w:rPr>
      </w:pPr>
    </w:p>
    <w:p w:rsidR="00133363" w:rsidRDefault="00133363" w:rsidP="00A568FA">
      <w:pPr>
        <w:rPr>
          <w:rFonts w:ascii="仿宋" w:eastAsia="仿宋" w:hAnsi="仿宋" w:cs="Times New Roman"/>
          <w:kern w:val="2"/>
          <w:sz w:val="32"/>
          <w:szCs w:val="32"/>
        </w:rPr>
      </w:pP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3073"/>
        <w:gridCol w:w="1085"/>
        <w:gridCol w:w="8676"/>
        <w:gridCol w:w="751"/>
      </w:tblGrid>
      <w:tr w:rsidR="00A568FA" w:rsidTr="00A568FA">
        <w:trPr>
          <w:trHeight w:val="308"/>
        </w:trPr>
        <w:tc>
          <w:tcPr>
            <w:tcW w:w="651"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序号</w:t>
            </w:r>
          </w:p>
        </w:tc>
        <w:tc>
          <w:tcPr>
            <w:tcW w:w="3073"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8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77"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51"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rPr>
          <w:trHeight w:val="7386"/>
        </w:trPr>
        <w:tc>
          <w:tcPr>
            <w:tcW w:w="651"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4</w:t>
            </w:r>
          </w:p>
        </w:tc>
        <w:tc>
          <w:tcPr>
            <w:tcW w:w="3073"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政府出资的投资项目（项目建议书、可行性研究报告或资金申请报告）的审批、组织评估论证和专家评议</w:t>
            </w:r>
          </w:p>
        </w:tc>
        <w:tc>
          <w:tcPr>
            <w:tcW w:w="108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其他行政权力</w:t>
            </w:r>
          </w:p>
        </w:tc>
        <w:tc>
          <w:tcPr>
            <w:tcW w:w="8677"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240" w:lineRule="exact"/>
              <w:ind w:firstLineChars="150" w:firstLine="270"/>
              <w:rPr>
                <w:rFonts w:ascii="仿宋" w:eastAsia="仿宋" w:hAnsi="仿宋"/>
                <w:kern w:val="2"/>
                <w:sz w:val="18"/>
                <w:szCs w:val="18"/>
              </w:rPr>
            </w:pPr>
            <w:r>
              <w:rPr>
                <w:rFonts w:ascii="仿宋" w:eastAsia="仿宋" w:hAnsi="仿宋" w:hint="eastAsia"/>
                <w:sz w:val="18"/>
                <w:szCs w:val="18"/>
              </w:rPr>
              <w:t>《国务院关于投资体制改革的决定》第三条：完善政府投资体制，规范政府投资行为：(一)合理界定政府投资范围。政府投资主要用于关系国家安全和市场不能有效配置资源的经济和社会领域，包括加强公益性和公共基础设施建设，保护和改善生态环境，促进欠发达地区的经济和社会发展，推进科技进步和高新技术产业化。能够由社会投资建设的项目，尽可能利用社会资金建设。合理划分中央政府与地方政府的投资事权。中央政府投资除本级政权等建设外，主要安排跨地区、跨流域以及对经济和社会发展全局有重大影响的项目。(二)健全政府投资项目决策机制。进一步完善和坚持科学的决策规则和程序，提高政府投资项目决策的科学化、民主化水平；政府投资项目一般都要经过符合资质要求的咨询中介机构的评估论证，咨询评估要引入竞争机制，并制定合理的竞争规则；特别重大的项目还应实行专家评议制度；逐步实行政府投资项目公示制度，广泛听取各方面的意见和建议。(三)规范政府投资资金管理。编制政府投资的中长期规划和年度计划，统筹安排、合理使用各类政府投资资金，包括预算内投资、各类专项建设基金、统借国外贷款等。政府投资资金按项目安排，根据资金来源、项目性质和调控需要，可分别采取直接投资、资本金注入、投资补助、转贷和贷款贴息等方式。以资本金注入方式投入的，要确定出资人代表。要针对不同的资金类型和资金运用方式，确定相应的管理办法，逐步实现政府投资的决策程序和资金管理的科学化、制度化和规范化。(四)简化和规范政府投资项目审批程序，合理划分审批权限。按照项目性质、资金来源和事权划分，合理确定中央政府与地方政府之间、国务院投资主管部门与有关部门之间的项目审批权限。对于政府投资项目，采用直接投资和资本金注入方式的，从投资决策角度只审批项目建议书和可行性研究报告，除特殊情况外不再审批开工报告，同时应严格政府投资项目的初步设计、概算审批工作；采用投资补助、转贷和贷款贴息方式的，只审批资金申请报告。具体的权限划分和审批程序由国务院投资主管部门会同有关方面研究制定，报国务院批准后颁布实施。(五)加强政府投资项目管理，改进建设实施方式。规范政府投资项目的建设标准，并根据情况变化及时修订完善。按项目建设进度下达投资资金计划。加强政府投资项目的中介服务管理，对咨询评估、招标代理等中介机构实行资质管理，提高中介服务质量。对非经营性政府投资项目加快推行“代建制”，即通过招标等方式，选择专业化的项目管理单位负责建设实施，严格控制项目投资、质量和工期，竣工验收后移交给使用单位。增强投资风险意识，建立和完善政府投资项目的风险管理机制。(六)引入市场机制，充分发挥政府投资的效益。各级政府要创造条件，利用特许经营、投资补助等多种方式，吸引社会资本参与有合理回报和一定投资回收能力的公益事业和公共基础设施项目建设。对于具有垄断性的项目，试行特许经营，通过业主招标制度，开展公平竞争，保护公众利益。已经建成的政府投资项目，具备条件的经过批准可以依法转让产权或经营权，以回收的资金滚动投资于社会公益等各类基础设施建设。</w:t>
            </w:r>
          </w:p>
        </w:tc>
        <w:tc>
          <w:tcPr>
            <w:tcW w:w="751"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rPr>
          <w:rFonts w:ascii="仿宋" w:eastAsia="仿宋" w:hAnsi="仿宋" w:cs="Times New Roman"/>
          <w:kern w:val="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1080"/>
        <w:gridCol w:w="8640"/>
        <w:gridCol w:w="748"/>
      </w:tblGrid>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5</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政府投资项目代建制的监督管理</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其他行政权力</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150" w:firstLine="270"/>
              <w:rPr>
                <w:rFonts w:ascii="仿宋" w:eastAsia="仿宋" w:hAnsi="仿宋"/>
                <w:kern w:val="2"/>
                <w:sz w:val="18"/>
                <w:szCs w:val="18"/>
              </w:rPr>
            </w:pPr>
            <w:r>
              <w:rPr>
                <w:rFonts w:ascii="仿宋" w:eastAsia="仿宋" w:hAnsi="仿宋" w:hint="eastAsia"/>
                <w:sz w:val="18"/>
                <w:szCs w:val="18"/>
              </w:rPr>
              <w:t>《湖南省政府投资项目代建制管理办法》第六条、第十二条；第六条：县级以上人民政府发展改革部门负责政府投资项目代建制实施的指导、协调和监督管理。县级以上人民政府财政部门负责政府投资代建项目资金使用的监督管理。县级以上人民政府建设、监察和审计等有关部门，按照各自职责负责政府投资代建制实施的有关监督管理工作。第十二条发展改革部门可以采取下列方式，加强对政府投资代建制推行的指导、协调和监督管理：(一)拟定代建合同格式文本，审查代建单位和使用单位签订的代建合同；(二)参与监督项目工程招标代理机构选择及招标投标活动；(三)参与项目可行性研究报告评估、初步设计评审；(四)核实初步设计概算和工程设计变更、概算调整事项，委托社会中介机构进行工程造价咨询；(五)监督检查项目实施，制止或者纠正有关违规、违约行为，或者提请有关行政监督部门处理。</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6</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szCs w:val="32"/>
              </w:rPr>
              <w:t>确定政府投资项目代建方式</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其他行政权力</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150" w:firstLine="270"/>
              <w:rPr>
                <w:rFonts w:ascii="仿宋" w:eastAsia="仿宋" w:hAnsi="仿宋"/>
                <w:kern w:val="2"/>
                <w:sz w:val="18"/>
                <w:szCs w:val="18"/>
              </w:rPr>
            </w:pPr>
            <w:r>
              <w:rPr>
                <w:rFonts w:ascii="仿宋" w:eastAsia="仿宋" w:hAnsi="仿宋" w:hint="eastAsia"/>
                <w:sz w:val="18"/>
                <w:szCs w:val="18"/>
              </w:rPr>
              <w:t>《湖南省政府投资项目代建制管理办法》第七条：第七条实行政府投资代建制的项目，可以采用全程代建或者阶段代建的方式。发展改革部门在批复项目建议书时确定代建方式。前款所称全程代建，是指从项目建议书批复开始至竣工验收，对项目进行全过程代建管理；阶段代建是指从初步设计批复开始至竣工验收，对项目进行阶段性代建管理。</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7</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政府投资代建项目代建合同、初步设计概算及设计概算调整审核</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其他行政权力</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150" w:firstLine="270"/>
              <w:rPr>
                <w:rFonts w:ascii="仿宋" w:eastAsia="仿宋" w:hAnsi="仿宋"/>
                <w:kern w:val="2"/>
                <w:sz w:val="18"/>
                <w:szCs w:val="18"/>
              </w:rPr>
            </w:pPr>
            <w:r>
              <w:rPr>
                <w:rFonts w:ascii="仿宋" w:eastAsia="仿宋" w:hAnsi="仿宋" w:hint="eastAsia"/>
                <w:sz w:val="18"/>
                <w:szCs w:val="18"/>
              </w:rPr>
              <w:t>《湖南省政府投资项目代建制管理办法》第十二条：发展改革部门可以采取下列方式，加强对政府投资代建制推行的指导、协调和监督管理：(一)拟定代建合同格式文本，审查代建单位和使用单位签订的代建合同；(二)参与监督项目工程招标代理机构选择及招标投标活动；(三)参与项目可行性研究报告评估、初步设计评审；(四)核实初步设计概算和工程设计变更、概算调整事项，委托社会中介机构进行工程造价咨询；(五)监督检查项目实施，制止或者纠正有关违规、违约行为，或者提请有关行政监督部门处理。</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8</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依法必须招标的项目规避招标的处罚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ind w:firstLineChars="200" w:firstLine="360"/>
              <w:rPr>
                <w:rFonts w:ascii="仿宋" w:eastAsia="仿宋" w:hAnsi="仿宋"/>
                <w:kern w:val="2"/>
                <w:sz w:val="18"/>
                <w:szCs w:val="18"/>
              </w:rPr>
            </w:pPr>
            <w:r>
              <w:rPr>
                <w:rFonts w:ascii="仿宋" w:eastAsia="仿宋" w:hAnsi="仿宋" w:hint="eastAsia"/>
                <w:sz w:val="18"/>
                <w:szCs w:val="18"/>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rsidR="00A568FA" w:rsidRDefault="00A568FA">
            <w:pPr>
              <w:widowControl w:val="0"/>
              <w:ind w:firstLineChars="200" w:firstLine="360"/>
              <w:jc w:val="both"/>
              <w:rPr>
                <w:rFonts w:ascii="仿宋" w:eastAsia="仿宋" w:hAnsi="仿宋"/>
                <w:kern w:val="2"/>
                <w:sz w:val="18"/>
                <w:szCs w:val="18"/>
              </w:rPr>
            </w:pPr>
            <w:r>
              <w:rPr>
                <w:rFonts w:ascii="仿宋" w:eastAsia="仿宋" w:hAnsi="仿宋" w:hint="eastAsia"/>
                <w:sz w:val="18"/>
                <w:szCs w:val="18"/>
              </w:rPr>
              <w:t>2.《中华人民共和国招标投标法实施条例》第六十三条第二款 依法必须进行招标的项目的招标人不按照规定发布资格预审公告或者招标公告，构成规避招标的，依照招标投标法第四十九条的规定处罚。</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ind w:firstLineChars="200" w:firstLine="640"/>
        <w:rPr>
          <w:rFonts w:ascii="仿宋" w:eastAsia="仿宋" w:hAnsi="仿宋" w:cs="Times New Roman"/>
          <w:kern w:val="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1080"/>
        <w:gridCol w:w="8640"/>
        <w:gridCol w:w="748"/>
      </w:tblGrid>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9</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项目招标代理机构泄密、与招标人、投标人串通以及其它违规行为的处罚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ind w:firstLineChars="200" w:firstLine="440"/>
              <w:rPr>
                <w:rFonts w:ascii="仿宋" w:eastAsia="仿宋" w:hAnsi="仿宋"/>
                <w:kern w:val="2"/>
                <w:sz w:val="21"/>
                <w:szCs w:val="24"/>
              </w:rPr>
            </w:pPr>
            <w:r>
              <w:rPr>
                <w:rFonts w:ascii="仿宋" w:eastAsia="仿宋" w:hAnsi="仿宋" w:hint="eastAsia"/>
              </w:rPr>
              <w:t xml:space="preserve">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暂停直至取消招标代理资格；构成犯罪的，依法追究刑事责任。给他人造成损失的，依法承担赔偿责任。前款所列行为影响中标结果的，中标无效。 </w:t>
            </w:r>
          </w:p>
          <w:p w:rsidR="00A568FA" w:rsidRDefault="00A568FA" w:rsidP="00A568FA">
            <w:pPr>
              <w:widowControl w:val="0"/>
              <w:ind w:firstLineChars="200" w:firstLine="440"/>
              <w:rPr>
                <w:rFonts w:ascii="仿宋" w:eastAsia="仿宋" w:hAnsi="仿宋"/>
                <w:kern w:val="2"/>
                <w:sz w:val="21"/>
                <w:szCs w:val="24"/>
              </w:rPr>
            </w:pPr>
            <w:r>
              <w:rPr>
                <w:rFonts w:ascii="仿宋" w:eastAsia="仿宋" w:hAnsi="仿宋" w:hint="eastAsia"/>
              </w:rPr>
              <w:t>2.《中华人民共和国招标投标法实施条例》第六十五条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10</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项目招标人限制或排斥潜在投标人的处罚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150" w:firstLine="330"/>
              <w:rPr>
                <w:rFonts w:ascii="仿宋" w:eastAsia="仿宋" w:hAnsi="仿宋"/>
                <w:kern w:val="2"/>
                <w:sz w:val="21"/>
                <w:szCs w:val="24"/>
              </w:rPr>
            </w:pPr>
            <w:r>
              <w:rPr>
                <w:rFonts w:ascii="仿宋" w:eastAsia="仿宋" w:hAnsi="仿宋" w:hint="eastAsia"/>
              </w:rPr>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2.《中华人民共和国招标投标法实施条例》第六十三条第一款 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11</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项目招标人透露招投标相关情况及泄露标底处罚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150" w:firstLine="330"/>
              <w:rPr>
                <w:rFonts w:ascii="仿宋" w:eastAsia="仿宋" w:hAnsi="仿宋"/>
                <w:kern w:val="2"/>
                <w:sz w:val="21"/>
                <w:szCs w:val="24"/>
              </w:rPr>
            </w:pPr>
            <w:r>
              <w:rPr>
                <w:rFonts w:ascii="仿宋" w:eastAsia="仿宋" w:hAnsi="仿宋" w:hint="eastAsia"/>
              </w:rPr>
              <w:t>《中华人民共和国招标投标法》第五十二条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ind w:firstLineChars="200" w:firstLine="640"/>
        <w:rPr>
          <w:rFonts w:ascii="仿宋" w:eastAsia="仿宋" w:hAnsi="仿宋" w:cs="Times New Roman"/>
          <w:kern w:val="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1080"/>
        <w:gridCol w:w="8640"/>
        <w:gridCol w:w="748"/>
      </w:tblGrid>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12</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项目投标人串标或以行贿手段谋取中标；以他人名义投标或以其他方式骗取中标的处罚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ind w:firstLineChars="200" w:firstLine="440"/>
              <w:rPr>
                <w:rFonts w:ascii="仿宋" w:eastAsia="仿宋" w:hAnsi="仿宋"/>
                <w:kern w:val="2"/>
                <w:sz w:val="21"/>
                <w:szCs w:val="24"/>
              </w:rPr>
            </w:pPr>
            <w:r>
              <w:rPr>
                <w:rFonts w:ascii="仿宋" w:eastAsia="仿宋" w:hAnsi="仿宋" w:hint="eastAsia"/>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A568FA" w:rsidRDefault="00A568FA" w:rsidP="00A568FA">
            <w:pPr>
              <w:ind w:firstLineChars="200" w:firstLine="440"/>
              <w:rPr>
                <w:rFonts w:ascii="仿宋" w:eastAsia="仿宋" w:hAnsi="仿宋"/>
              </w:rPr>
            </w:pPr>
            <w:r>
              <w:rPr>
                <w:rFonts w:ascii="仿宋" w:eastAsia="仿宋" w:hAnsi="仿宋" w:hint="eastAsia"/>
              </w:rPr>
              <w:t>2.《中华人民共和国招标投标法》第五十四条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A568FA" w:rsidRDefault="00A568FA" w:rsidP="00A568FA">
            <w:pPr>
              <w:widowControl w:val="0"/>
              <w:ind w:firstLineChars="200" w:firstLine="440"/>
              <w:rPr>
                <w:rFonts w:ascii="仿宋" w:eastAsia="仿宋" w:hAnsi="仿宋"/>
                <w:kern w:val="2"/>
                <w:sz w:val="21"/>
                <w:szCs w:val="24"/>
              </w:rPr>
            </w:pPr>
            <w:r>
              <w:rPr>
                <w:rFonts w:ascii="仿宋" w:eastAsia="仿宋" w:hAnsi="仿宋" w:hint="eastAsia"/>
              </w:rPr>
              <w:t>3.《中华人民共和国招标投标法实施条例》第六十八条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 （一）伪造、变造资格、资质证书或者其他许可证件骗取中标；（二）3年内2次以上使用他人名义投标；（三）弄虚作假骗取中标给招标人造成直接经济损失30万元以</w:t>
            </w:r>
            <w:r>
              <w:rPr>
                <w:rFonts w:ascii="仿宋" w:eastAsia="仿宋" w:hAnsi="仿宋" w:hint="eastAsia"/>
              </w:rPr>
              <w:lastRenderedPageBreak/>
              <w:t>上；（四）其他弄虚作假骗取中标情节严重的行为。</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rPr>
          <w:rFonts w:ascii="仿宋" w:eastAsia="仿宋" w:hAnsi="仿宋" w:cs="Times New Roman"/>
          <w:kern w:val="2"/>
          <w:sz w:val="32"/>
          <w:szCs w:val="32"/>
        </w:rPr>
      </w:pPr>
    </w:p>
    <w:p w:rsidR="00A568FA" w:rsidRDefault="00A568FA" w:rsidP="00A568FA">
      <w:pPr>
        <w:rPr>
          <w:rFonts w:ascii="仿宋" w:eastAsia="仿宋" w:hAnsi="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1078"/>
        <w:gridCol w:w="8640"/>
        <w:gridCol w:w="748"/>
      </w:tblGrid>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7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13</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依法必须进行招标的项目招标人违法与投标人进行实质性内容谈判；与中标人不按招投标文件订立合同或订立背离合同实质性内容的协议的处罚</w:t>
            </w:r>
          </w:p>
        </w:tc>
        <w:tc>
          <w:tcPr>
            <w:tcW w:w="107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ind w:firstLineChars="200" w:firstLine="440"/>
              <w:rPr>
                <w:rFonts w:ascii="仿宋" w:eastAsia="仿宋" w:hAnsi="仿宋"/>
                <w:kern w:val="2"/>
                <w:sz w:val="21"/>
                <w:szCs w:val="21"/>
              </w:rPr>
            </w:pPr>
            <w:r>
              <w:rPr>
                <w:rFonts w:ascii="仿宋" w:eastAsia="仿宋" w:hAnsi="仿宋" w:hint="eastAsia"/>
                <w:szCs w:val="21"/>
              </w:rPr>
              <w:t>1.《中华人民共和国招标投标法》第五十五条 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p w:rsidR="00A568FA" w:rsidRDefault="00A568FA" w:rsidP="00A568FA">
            <w:pPr>
              <w:ind w:firstLineChars="200" w:firstLine="440"/>
              <w:rPr>
                <w:rFonts w:ascii="仿宋" w:eastAsia="仿宋" w:hAnsi="仿宋"/>
                <w:szCs w:val="21"/>
              </w:rPr>
            </w:pPr>
            <w:r>
              <w:rPr>
                <w:rFonts w:ascii="仿宋" w:eastAsia="仿宋" w:hAnsi="仿宋" w:hint="eastAsia"/>
                <w:szCs w:val="21"/>
              </w:rPr>
              <w:t>2.《中华人民共和国招标投标法》第五十九条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w:t>
            </w:r>
          </w:p>
          <w:p w:rsidR="00A568FA" w:rsidRDefault="00A568FA" w:rsidP="00A568FA">
            <w:pPr>
              <w:widowControl w:val="0"/>
              <w:ind w:leftChars="16" w:left="35" w:firstLineChars="200" w:firstLine="440"/>
              <w:rPr>
                <w:rFonts w:ascii="仿宋" w:eastAsia="仿宋" w:hAnsi="仿宋"/>
                <w:kern w:val="2"/>
                <w:sz w:val="21"/>
                <w:szCs w:val="21"/>
              </w:rPr>
            </w:pPr>
            <w:r>
              <w:rPr>
                <w:rFonts w:ascii="仿宋" w:eastAsia="仿宋" w:hAnsi="仿宋" w:hint="eastAsia"/>
                <w:szCs w:val="21"/>
              </w:rPr>
              <w:t>3.《中华人民共和国招标投标法实施条例》第七十五条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rPr>
          <w:trHeight w:val="4598"/>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14</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32"/>
              </w:rPr>
            </w:pPr>
            <w:r>
              <w:rPr>
                <w:rFonts w:ascii="仿宋" w:eastAsia="仿宋" w:hAnsi="仿宋" w:hint="eastAsia"/>
              </w:rPr>
              <w:t>依法必须招标的项目招标人违法确定中标人的处罚</w:t>
            </w:r>
          </w:p>
        </w:tc>
        <w:tc>
          <w:tcPr>
            <w:tcW w:w="107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200" w:firstLine="440"/>
              <w:jc w:val="both"/>
              <w:rPr>
                <w:rFonts w:ascii="仿宋" w:eastAsia="仿宋" w:hAnsi="仿宋"/>
                <w:kern w:val="2"/>
                <w:sz w:val="21"/>
                <w:szCs w:val="21"/>
              </w:rPr>
            </w:pPr>
            <w:r>
              <w:rPr>
                <w:rFonts w:ascii="仿宋" w:eastAsia="仿宋" w:hAnsi="仿宋" w:hint="eastAsia"/>
                <w:szCs w:val="21"/>
              </w:rPr>
              <w:t>《中华人民共和国招标投标法》第五十七条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rPr>
          <w:trHeight w:val="420"/>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7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15</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项目中标人违法转让、分包中标项目，不按照与招标人订立的合同履行义务的处罚</w:t>
            </w:r>
          </w:p>
        </w:tc>
        <w:tc>
          <w:tcPr>
            <w:tcW w:w="107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ind w:firstLineChars="200" w:firstLine="440"/>
              <w:rPr>
                <w:rFonts w:ascii="仿宋" w:eastAsia="仿宋" w:hAnsi="仿宋"/>
                <w:kern w:val="2"/>
                <w:sz w:val="21"/>
                <w:szCs w:val="21"/>
              </w:rPr>
            </w:pPr>
            <w:r>
              <w:rPr>
                <w:rFonts w:ascii="仿宋" w:eastAsia="仿宋" w:hAnsi="仿宋" w:hint="eastAsia"/>
                <w:szCs w:val="21"/>
              </w:rPr>
              <w:t>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rsidR="00A568FA" w:rsidRDefault="00A568FA" w:rsidP="00A568FA">
            <w:pPr>
              <w:ind w:firstLineChars="200" w:firstLine="440"/>
              <w:rPr>
                <w:rFonts w:ascii="仿宋" w:eastAsia="仿宋" w:hAnsi="仿宋"/>
                <w:szCs w:val="21"/>
              </w:rPr>
            </w:pPr>
            <w:r>
              <w:rPr>
                <w:rFonts w:ascii="仿宋" w:eastAsia="仿宋" w:hAnsi="仿宋" w:hint="eastAsia"/>
                <w:szCs w:val="21"/>
              </w:rPr>
              <w:t>2.《中华人民共和国招标投标法实施条例》第七十六条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w:t>
            </w:r>
            <w:r>
              <w:rPr>
                <w:rFonts w:ascii="仿宋" w:eastAsia="仿宋" w:hAnsi="仿宋" w:hint="eastAsia"/>
                <w:szCs w:val="21"/>
              </w:rPr>
              <w:lastRenderedPageBreak/>
              <w:t>可以责令停业整顿；情节严重的，由工商行政管理机关吊销营业执照。</w:t>
            </w:r>
          </w:p>
          <w:p w:rsidR="00A568FA" w:rsidRDefault="00A568FA" w:rsidP="00A568FA">
            <w:pPr>
              <w:widowControl w:val="0"/>
              <w:ind w:firstLineChars="150" w:firstLine="330"/>
              <w:rPr>
                <w:rFonts w:ascii="仿宋" w:eastAsia="仿宋" w:hAnsi="仿宋"/>
                <w:kern w:val="2"/>
                <w:sz w:val="21"/>
                <w:szCs w:val="21"/>
              </w:rPr>
            </w:pPr>
            <w:r>
              <w:rPr>
                <w:rFonts w:ascii="仿宋" w:eastAsia="仿宋" w:hAnsi="仿宋" w:hint="eastAsia"/>
                <w:szCs w:val="21"/>
              </w:rPr>
              <w:t>3.《中华人民共和国招标投标法》第六十条 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16</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项目的招标人擅自邀标，违规发布招投标文件，违规接受投标文件的处罚</w:t>
            </w:r>
          </w:p>
        </w:tc>
        <w:tc>
          <w:tcPr>
            <w:tcW w:w="107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ind w:firstLineChars="250" w:firstLine="450"/>
              <w:rPr>
                <w:rFonts w:ascii="仿宋" w:eastAsia="仿宋" w:hAnsi="仿宋"/>
                <w:kern w:val="2"/>
                <w:sz w:val="18"/>
                <w:szCs w:val="18"/>
              </w:rPr>
            </w:pPr>
            <w:r>
              <w:rPr>
                <w:rFonts w:ascii="仿宋" w:eastAsia="仿宋" w:hAnsi="仿宋" w:hint="eastAsia"/>
                <w:sz w:val="18"/>
                <w:szCs w:val="18"/>
              </w:rPr>
              <w:t>1.《中华人民共和国招标投标法实施条例》第六十四条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p w:rsidR="00A568FA" w:rsidRDefault="00A568FA">
            <w:pPr>
              <w:widowControl w:val="0"/>
              <w:ind w:firstLineChars="250" w:firstLine="450"/>
              <w:rPr>
                <w:rFonts w:ascii="仿宋" w:eastAsia="仿宋" w:hAnsi="仿宋"/>
                <w:kern w:val="2"/>
                <w:sz w:val="18"/>
                <w:szCs w:val="18"/>
              </w:rPr>
            </w:pPr>
            <w:r>
              <w:rPr>
                <w:rFonts w:ascii="仿宋" w:eastAsia="仿宋" w:hAnsi="仿宋" w:hint="eastAsia"/>
                <w:sz w:val="18"/>
                <w:szCs w:val="18"/>
              </w:rPr>
              <w:t>2.《湖南省实施〈招标投标法〉办法》第四十二条 违反本办法第十九条规定，发布招标公告不符合要求的，由有关行政监督部门责令改正；未发布招标公告而招标的，招标无效，并对单位直接负责的主管人员和其他责任人员依法给予行政处分。</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rPr>
          <w:rFonts w:ascii="仿宋" w:eastAsia="仿宋" w:hAnsi="仿宋" w:cs="Times New Roman"/>
          <w:kern w:val="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1080"/>
        <w:gridCol w:w="8640"/>
        <w:gridCol w:w="748"/>
      </w:tblGrid>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rPr>
          <w:trHeight w:val="1374"/>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17</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违法收取投标保证金、履约保证金或者不按规定退还投标保证金的处罚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200" w:firstLine="360"/>
              <w:rPr>
                <w:rFonts w:ascii="仿宋" w:eastAsia="仿宋" w:hAnsi="仿宋"/>
                <w:kern w:val="2"/>
                <w:sz w:val="18"/>
                <w:szCs w:val="18"/>
              </w:rPr>
            </w:pPr>
            <w:r>
              <w:rPr>
                <w:rFonts w:ascii="仿宋" w:eastAsia="仿宋" w:hAnsi="仿宋" w:hint="eastAsia"/>
                <w:sz w:val="18"/>
                <w:szCs w:val="18"/>
              </w:rPr>
              <w:t>《中华人民共和国招标投标法实施条例》第六十六条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rPr>
          <w:trHeight w:val="1125"/>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18</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项目投标中，出让或者出租资格、资质证书供他人投标的处罚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200" w:firstLine="360"/>
              <w:rPr>
                <w:rFonts w:ascii="仿宋" w:eastAsia="仿宋" w:hAnsi="仿宋"/>
                <w:kern w:val="2"/>
                <w:sz w:val="18"/>
                <w:szCs w:val="18"/>
              </w:rPr>
            </w:pPr>
            <w:r>
              <w:rPr>
                <w:rFonts w:ascii="仿宋" w:eastAsia="仿宋" w:hAnsi="仿宋" w:hint="eastAsia"/>
                <w:sz w:val="18"/>
                <w:szCs w:val="18"/>
              </w:rPr>
              <w:t>《中华人民共和国招标投标法实施条例》第六十九条 出让或者出租资格、资质证书供他人投标的，依照法律、行政法规的规定给予行政处罚；构成犯罪的，依法追究刑事责任。</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rPr>
          <w:trHeight w:val="1943"/>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19</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tLeast"/>
              <w:jc w:val="center"/>
              <w:rPr>
                <w:rFonts w:ascii="仿宋" w:eastAsia="仿宋" w:hAnsi="仿宋" w:cs="宋体"/>
                <w:kern w:val="2"/>
                <w:sz w:val="18"/>
                <w:szCs w:val="18"/>
              </w:rPr>
            </w:pPr>
            <w:r>
              <w:rPr>
                <w:rFonts w:ascii="仿宋" w:eastAsia="仿宋" w:hAnsi="仿宋" w:hint="eastAsia"/>
                <w:sz w:val="18"/>
                <w:szCs w:val="18"/>
              </w:rPr>
              <w:t>依法必须招标的项目，招标人不按照规定组建评标委员会或者违法确定、更换评标委员会成员的处罚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200" w:firstLine="360"/>
              <w:jc w:val="both"/>
              <w:rPr>
                <w:rFonts w:ascii="仿宋" w:eastAsia="仿宋" w:hAnsi="仿宋"/>
                <w:kern w:val="2"/>
                <w:sz w:val="18"/>
                <w:szCs w:val="18"/>
              </w:rPr>
            </w:pPr>
            <w:r>
              <w:rPr>
                <w:rFonts w:ascii="仿宋" w:eastAsia="仿宋" w:hAnsi="仿宋" w:hint="eastAsia"/>
                <w:sz w:val="18"/>
                <w:szCs w:val="18"/>
              </w:rPr>
              <w:t>《中华人民共和国招标投标法实施条例》第七十条第一款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rPr>
          <w:trHeight w:val="3520"/>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20</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tLeast"/>
              <w:jc w:val="center"/>
              <w:rPr>
                <w:rFonts w:ascii="仿宋" w:eastAsia="仿宋" w:hAnsi="仿宋"/>
                <w:kern w:val="2"/>
                <w:sz w:val="18"/>
                <w:szCs w:val="18"/>
              </w:rPr>
            </w:pPr>
            <w:r>
              <w:rPr>
                <w:rFonts w:ascii="仿宋" w:eastAsia="仿宋" w:hAnsi="仿宋" w:hint="eastAsia"/>
                <w:sz w:val="18"/>
                <w:szCs w:val="18"/>
              </w:rPr>
              <w:t>依法必须招标的项目招标人无正当理由不发中标通知书，不按规定确定中标人，无正当理由改变中标结果或不与中标人订立合同，在订立合同时向中标人提出附加条件的处罚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200" w:firstLine="360"/>
              <w:jc w:val="both"/>
              <w:rPr>
                <w:rFonts w:ascii="仿宋" w:eastAsia="仿宋" w:hAnsi="仿宋"/>
                <w:kern w:val="2"/>
                <w:sz w:val="18"/>
                <w:szCs w:val="18"/>
              </w:rPr>
            </w:pPr>
            <w:r>
              <w:rPr>
                <w:rFonts w:ascii="仿宋" w:eastAsia="仿宋" w:hAnsi="仿宋" w:hint="eastAsia"/>
                <w:sz w:val="18"/>
                <w:szCs w:val="18"/>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rPr>
          <w:rFonts w:ascii="仿宋" w:eastAsia="仿宋" w:hAnsi="仿宋" w:cs="Times New Roman"/>
          <w:kern w:val="2"/>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1080"/>
        <w:gridCol w:w="8640"/>
        <w:gridCol w:w="748"/>
      </w:tblGrid>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21</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项目评标委员会成员及与评标相关工作人员评标违法行</w:t>
            </w:r>
            <w:r>
              <w:rPr>
                <w:rFonts w:ascii="仿宋" w:eastAsia="仿宋" w:hAnsi="仿宋" w:hint="eastAsia"/>
              </w:rPr>
              <w:lastRenderedPageBreak/>
              <w:t>为的处罚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行政处</w:t>
            </w:r>
            <w:r>
              <w:rPr>
                <w:rFonts w:ascii="仿宋" w:eastAsia="仿宋" w:hAnsi="仿宋" w:hint="eastAsia"/>
              </w:rPr>
              <w:lastRenderedPageBreak/>
              <w:t>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ind w:firstLineChars="200" w:firstLine="360"/>
              <w:rPr>
                <w:rFonts w:ascii="仿宋" w:eastAsia="仿宋" w:hAnsi="仿宋"/>
                <w:kern w:val="2"/>
                <w:sz w:val="18"/>
                <w:szCs w:val="18"/>
              </w:rPr>
            </w:pPr>
            <w:r>
              <w:rPr>
                <w:rFonts w:ascii="仿宋" w:eastAsia="仿宋" w:hAnsi="仿宋" w:hint="eastAsia"/>
                <w:sz w:val="18"/>
                <w:szCs w:val="18"/>
              </w:rPr>
              <w:lastRenderedPageBreak/>
              <w:t>1.《中华人民共和国招标投标法》第五十六条：评标委员会成员受投标人的财务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w:t>
            </w:r>
            <w:r>
              <w:rPr>
                <w:rFonts w:ascii="仿宋" w:eastAsia="仿宋" w:hAnsi="仿宋" w:hint="eastAsia"/>
                <w:sz w:val="18"/>
                <w:szCs w:val="18"/>
              </w:rPr>
              <w:lastRenderedPageBreak/>
              <w:t>列违法行为的评标委员会成员取消担任评标委员会成员的资格，不得再参加任何依法必须进行招标的项目的评标；构成犯罪的，依法追究刑事责任。</w:t>
            </w:r>
          </w:p>
          <w:p w:rsidR="00A568FA" w:rsidRDefault="00A568FA">
            <w:pPr>
              <w:widowControl w:val="0"/>
              <w:rPr>
                <w:rFonts w:ascii="仿宋" w:eastAsia="仿宋" w:hAnsi="仿宋"/>
                <w:kern w:val="2"/>
                <w:sz w:val="18"/>
                <w:szCs w:val="18"/>
              </w:rPr>
            </w:pPr>
            <w:r>
              <w:rPr>
                <w:rFonts w:ascii="仿宋" w:eastAsia="仿宋" w:hAnsi="仿宋" w:hint="eastAsia"/>
                <w:sz w:val="18"/>
                <w:szCs w:val="18"/>
              </w:rPr>
              <w:t xml:space="preserve">    2.《中华人民共和国招标投标法实施条例》第五十二条：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评标委员会不得暗示或者诱导投标人作出澄清、说明，不得接受投标人主动提出的澄清、说明。第七十一条 评标委员会成员有下列行为之一的，由有关行政监督部门责令改正；情节严重的，禁止其在一定期限内参加依法必须进行招标的项目的评标；情节特别严重的，取消其担任评标委员会成员的资格：（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22</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中标人无正当理由不与招标人订立合同，在签订合同时提出附加条件或不按招标文件要求提交履约保证金的处罚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200" w:firstLine="440"/>
              <w:rPr>
                <w:rFonts w:ascii="仿宋" w:eastAsia="仿宋" w:hAnsi="仿宋"/>
                <w:kern w:val="2"/>
                <w:sz w:val="21"/>
                <w:szCs w:val="24"/>
              </w:rPr>
            </w:pPr>
            <w:r>
              <w:rPr>
                <w:rFonts w:ascii="仿宋" w:eastAsia="仿宋" w:hAnsi="仿宋" w:hint="eastAsia"/>
              </w:rPr>
              <w:t>《中华人民共和国招标投标法实施条例》第七十四条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rPr>
          <w:trHeight w:val="1799"/>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23</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取得招标职业资格的专业人员违反国家规定办理项目招标业务的处罚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200" w:firstLine="440"/>
              <w:rPr>
                <w:rFonts w:ascii="仿宋" w:eastAsia="仿宋" w:hAnsi="仿宋"/>
                <w:kern w:val="2"/>
                <w:sz w:val="21"/>
                <w:szCs w:val="24"/>
              </w:rPr>
            </w:pPr>
            <w:r>
              <w:rPr>
                <w:rFonts w:ascii="仿宋" w:eastAsia="仿宋" w:hAnsi="仿宋" w:hint="eastAsia"/>
              </w:rPr>
              <w:t>《中华人民共和国招标投标法实施条例》第七十八条 取得招标职业资格的专业人员违反国家有关规定办理招标业务的，责令改正，给予警告；情节严重的，暂停一定期限内从事招标业务；情节特别严重的，取消招标职业资格。</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tabs>
          <w:tab w:val="left" w:pos="11600"/>
        </w:tabs>
        <w:rPr>
          <w:rFonts w:ascii="仿宋" w:eastAsia="仿宋" w:hAnsi="仿宋" w:cs="Times New Roman"/>
          <w:kern w:val="2"/>
          <w:sz w:val="32"/>
          <w:szCs w:val="32"/>
        </w:rPr>
      </w:pPr>
      <w:r>
        <w:rPr>
          <w:rFonts w:ascii="仿宋" w:eastAsia="仿宋" w:hAnsi="仿宋" w:hint="eastAsia"/>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1080"/>
        <w:gridCol w:w="8640"/>
        <w:gridCol w:w="748"/>
      </w:tblGrid>
      <w:tr w:rsidR="00A568FA" w:rsidTr="00A568FA">
        <w:trPr>
          <w:trHeight w:val="218"/>
        </w:trPr>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序号</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事项名称</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类别</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实施依据</w:t>
            </w:r>
          </w:p>
        </w:tc>
        <w:tc>
          <w:tcPr>
            <w:tcW w:w="7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备注</w:t>
            </w: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24</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32"/>
              </w:rPr>
            </w:pPr>
            <w:r>
              <w:rPr>
                <w:rFonts w:ascii="仿宋" w:eastAsia="仿宋" w:hAnsi="仿宋" w:hint="eastAsia"/>
              </w:rPr>
              <w:t>政府投资项目代建单位违规违约行为的处罚</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行政处罚</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ind w:firstLineChars="200" w:firstLine="360"/>
              <w:rPr>
                <w:rFonts w:ascii="仿宋" w:eastAsia="仿宋" w:hAnsi="仿宋"/>
                <w:kern w:val="2"/>
                <w:sz w:val="18"/>
                <w:szCs w:val="18"/>
              </w:rPr>
            </w:pPr>
            <w:r>
              <w:rPr>
                <w:rFonts w:ascii="仿宋" w:eastAsia="仿宋" w:hAnsi="仿宋" w:hint="eastAsia"/>
                <w:sz w:val="18"/>
                <w:szCs w:val="18"/>
              </w:rPr>
              <w:t>1.《国务院关于投资体制改革的决定》（国发〔2004〕20号：“三、完善政府投资体制，规范政府投资行为（五）加强政府投资项目管理，改进建设实施方式：对非经营性政府投资项目加快推行代建制。”</w:t>
            </w:r>
          </w:p>
          <w:p w:rsidR="00A568FA" w:rsidRDefault="00A568FA">
            <w:pPr>
              <w:widowControl w:val="0"/>
              <w:ind w:firstLineChars="200" w:firstLine="360"/>
              <w:rPr>
                <w:rFonts w:ascii="仿宋" w:eastAsia="仿宋" w:hAnsi="仿宋"/>
                <w:kern w:val="2"/>
                <w:sz w:val="18"/>
                <w:szCs w:val="18"/>
              </w:rPr>
            </w:pPr>
            <w:r>
              <w:rPr>
                <w:rFonts w:ascii="仿宋" w:eastAsia="仿宋" w:hAnsi="仿宋" w:hint="eastAsia"/>
                <w:sz w:val="18"/>
                <w:szCs w:val="18"/>
              </w:rPr>
              <w:t>2.《湖南省政府投资项目代建制管理办法》（湖南省人民政府令第241号）：“第六条 县级以上人民政府发展改革部门负责政府投资项目代建制实施的指导、协调和监督管理。第二十二条 代建单位有下列情形之一的，除承担相应的违约责任外，3年内不得参与代建活动，并由有关部门依法处理。（一）违反项目代建合同约定，致使工期延长、投资保留、工程质量不合格或者发生重大安全责任事故的；（二）与使用单位串通，损害国家利益或者社会公共利益的；（三）与勘察设计、施工、监理、设备材料供应等单位串通，谋取不正当利益或者损害使用单位利益的；（四）违反项目建设资金使用和财务管理规定的；（五）转让代建业务的。”</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25</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本级政府投资代建项目实施的监督</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3"/>
              </w:rPr>
            </w:pPr>
            <w:r>
              <w:rPr>
                <w:rFonts w:ascii="仿宋" w:eastAsia="仿宋" w:hAnsi="仿宋" w:hint="eastAsia"/>
                <w:szCs w:val="23"/>
              </w:rPr>
              <w:t>行政监督</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ind w:firstLineChars="150" w:firstLine="270"/>
              <w:jc w:val="both"/>
              <w:rPr>
                <w:rFonts w:ascii="仿宋" w:eastAsia="仿宋" w:hAnsi="仿宋"/>
                <w:kern w:val="2"/>
                <w:sz w:val="21"/>
                <w:szCs w:val="23"/>
              </w:rPr>
            </w:pPr>
            <w:r>
              <w:rPr>
                <w:rFonts w:ascii="仿宋" w:eastAsia="仿宋" w:hAnsi="仿宋" w:hint="eastAsia"/>
                <w:sz w:val="18"/>
                <w:szCs w:val="18"/>
              </w:rPr>
              <w:t>《湖南省政府投资项目代建制管理办法》（湖南省人民政府令第241号）：“第十二条 发展改革部门可以采取以下方式，加强对政府投资代建制推行的指导、协调和监督管理：（二）参与监督项目工程招标代理机构选择及招标投标活动；（五）监督检查项目实施，制止或者纠正有关违规、违约行为，或者提请有关行政监督部门处理。”</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c>
          <w:tcPr>
            <w:tcW w:w="648"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26</w:t>
            </w:r>
          </w:p>
        </w:tc>
        <w:tc>
          <w:tcPr>
            <w:tcW w:w="306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权限内固定资产投资项目节能评估和审查</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行政许可</w:t>
            </w:r>
          </w:p>
        </w:tc>
        <w:tc>
          <w:tcPr>
            <w:tcW w:w="8640" w:type="dxa"/>
            <w:tcBorders>
              <w:top w:val="single" w:sz="4" w:space="0" w:color="auto"/>
              <w:left w:val="single" w:sz="4" w:space="0" w:color="auto"/>
              <w:bottom w:val="single" w:sz="4" w:space="0" w:color="auto"/>
              <w:right w:val="single" w:sz="4" w:space="0" w:color="auto"/>
            </w:tcBorders>
            <w:vAlign w:val="center"/>
            <w:hideMark/>
          </w:tcPr>
          <w:p w:rsidR="00A568FA" w:rsidRDefault="00A568FA">
            <w:pPr>
              <w:ind w:firstLineChars="150" w:firstLine="270"/>
              <w:rPr>
                <w:rFonts w:ascii="仿宋" w:eastAsia="仿宋" w:hAnsi="仿宋"/>
                <w:kern w:val="2"/>
                <w:sz w:val="18"/>
                <w:szCs w:val="18"/>
              </w:rPr>
            </w:pPr>
            <w:r>
              <w:rPr>
                <w:rFonts w:ascii="仿宋" w:eastAsia="仿宋" w:hAnsi="仿宋" w:hint="eastAsia"/>
                <w:sz w:val="18"/>
                <w:szCs w:val="18"/>
              </w:rPr>
              <w:t>1.《中华人民共和国节约能源法》（2007年）第十五条：国家实行固定资产投资项目节能评估和审查制度。不符合强制性节能标准的项目，依法负责项目审批和核准的机关不得批准或者核准建设；建设单位不得开工建设；已经建成的，不得投入生产、使用。具体办法由国务院管理节能工作的部门会同国务院有关部门制定。</w:t>
            </w:r>
          </w:p>
          <w:p w:rsidR="00A568FA" w:rsidRDefault="00A568FA">
            <w:pPr>
              <w:ind w:firstLineChars="150" w:firstLine="270"/>
              <w:rPr>
                <w:rFonts w:ascii="仿宋" w:eastAsia="仿宋" w:hAnsi="仿宋"/>
                <w:sz w:val="18"/>
                <w:szCs w:val="18"/>
              </w:rPr>
            </w:pPr>
            <w:r>
              <w:rPr>
                <w:rFonts w:ascii="仿宋" w:eastAsia="仿宋" w:hAnsi="仿宋" w:hint="eastAsia"/>
                <w:sz w:val="18"/>
                <w:szCs w:val="18"/>
              </w:rPr>
              <w:t>2.《国务院关于加强节能工作的决定》（国发〔2006〕28号）第二十三条：建立固定资产投资项目节能评估和审查制度。有关部门和地方人民政府要对固定资产投资项目（含新建、改建、扩建项目）进行节能评估和审查。</w:t>
            </w:r>
          </w:p>
          <w:p w:rsidR="00A568FA" w:rsidRDefault="00A568FA">
            <w:pPr>
              <w:widowControl w:val="0"/>
              <w:ind w:firstLineChars="150" w:firstLine="270"/>
              <w:jc w:val="both"/>
              <w:rPr>
                <w:rFonts w:ascii="仿宋" w:eastAsia="仿宋" w:hAnsi="仿宋"/>
                <w:kern w:val="2"/>
                <w:sz w:val="18"/>
                <w:szCs w:val="18"/>
              </w:rPr>
            </w:pPr>
            <w:r>
              <w:rPr>
                <w:rFonts w:ascii="仿宋" w:eastAsia="仿宋" w:hAnsi="仿宋" w:hint="eastAsia"/>
                <w:sz w:val="18"/>
                <w:szCs w:val="18"/>
              </w:rPr>
              <w:t>3、《固定资产投资项目节能评估和审查暂行办法》（2010年国家发改委令第6号）第四条：固定资产投资项目节能评估文件及其审查意见、节能登记表及其登记备案意见，作为项目审批、核准或开工建设的前置性条件以及项目设计、施工和竣工验收的重要依据。第九条：固定资产投资项目节能审查按照项目管理权限实行分级管理。由国家发展改革委核报国务院审批或核准的项目以及国家发展改革委审批或核准的项目，其节能审查由国家发展改革委负责；由地方人民政府发展改革部门审批、核准、备案或核报本级人民政府审批、核准的项目，其节能审查由地方人民政府发展改革部门负责。</w:t>
            </w:r>
          </w:p>
        </w:tc>
        <w:tc>
          <w:tcPr>
            <w:tcW w:w="748" w:type="dxa"/>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bl>
    <w:p w:rsidR="00A568FA" w:rsidRDefault="00A568FA" w:rsidP="00A568FA">
      <w:pPr>
        <w:rPr>
          <w:rFonts w:ascii="仿宋" w:eastAsia="仿宋" w:hAnsi="仿宋"/>
          <w:sz w:val="32"/>
          <w:szCs w:val="32"/>
        </w:rPr>
        <w:sectPr w:rsidR="00A568FA">
          <w:pgSz w:w="16840" w:h="11907" w:orient="landscape"/>
          <w:pgMar w:top="1701" w:right="1440" w:bottom="1701" w:left="1440" w:header="720" w:footer="720" w:gutter="0"/>
          <w:cols w:space="720"/>
          <w:docGrid w:type="linesAndChars" w:linePitch="312"/>
        </w:sectPr>
      </w:pPr>
    </w:p>
    <w:p w:rsidR="00A568FA" w:rsidRDefault="00A568FA" w:rsidP="00A568FA">
      <w:pPr>
        <w:rPr>
          <w:rFonts w:ascii="仿宋" w:eastAsia="仿宋" w:hAnsi="仿宋" w:cs="Times New Roman"/>
          <w:kern w:val="2"/>
          <w:sz w:val="10"/>
          <w:szCs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779"/>
        <w:gridCol w:w="38"/>
        <w:gridCol w:w="2835"/>
        <w:gridCol w:w="26"/>
        <w:gridCol w:w="1108"/>
        <w:gridCol w:w="47"/>
        <w:gridCol w:w="8742"/>
        <w:gridCol w:w="735"/>
        <w:gridCol w:w="399"/>
      </w:tblGrid>
      <w:tr w:rsidR="00A568FA" w:rsidTr="00A568FA">
        <w:trPr>
          <w:gridBefore w:val="1"/>
          <w:gridAfter w:val="1"/>
          <w:wBefore w:w="34" w:type="dxa"/>
          <w:wAfter w:w="399" w:type="dxa"/>
          <w:trHeight w:val="302"/>
        </w:trPr>
        <w:tc>
          <w:tcPr>
            <w:tcW w:w="779"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仿宋" w:eastAsia="仿宋" w:hAnsi="仿宋"/>
                <w:color w:val="000000"/>
                <w:sz w:val="21"/>
                <w:szCs w:val="24"/>
              </w:rPr>
            </w:pPr>
            <w:r>
              <w:rPr>
                <w:rFonts w:ascii="仿宋" w:eastAsia="仿宋" w:hAnsi="仿宋" w:hint="eastAsia"/>
                <w:color w:val="000000"/>
              </w:rPr>
              <w:t>序号</w:t>
            </w:r>
          </w:p>
        </w:tc>
        <w:tc>
          <w:tcPr>
            <w:tcW w:w="2899"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事项名称</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类别</w:t>
            </w:r>
          </w:p>
        </w:tc>
        <w:tc>
          <w:tcPr>
            <w:tcW w:w="8742"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实施依据</w:t>
            </w:r>
          </w:p>
        </w:tc>
        <w:tc>
          <w:tcPr>
            <w:tcW w:w="7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备注</w:t>
            </w:r>
          </w:p>
        </w:tc>
      </w:tr>
      <w:tr w:rsidR="00A568FA" w:rsidTr="00A568FA">
        <w:trPr>
          <w:gridBefore w:val="1"/>
          <w:gridAfter w:val="1"/>
          <w:wBefore w:w="34" w:type="dxa"/>
          <w:wAfter w:w="399" w:type="dxa"/>
          <w:trHeight w:val="1499"/>
        </w:trPr>
        <w:tc>
          <w:tcPr>
            <w:tcW w:w="779"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27</w:t>
            </w:r>
          </w:p>
        </w:tc>
        <w:tc>
          <w:tcPr>
            <w:tcW w:w="2899"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重大项目稽察</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行政检查</w:t>
            </w:r>
          </w:p>
        </w:tc>
        <w:tc>
          <w:tcPr>
            <w:tcW w:w="8742"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ind w:firstLineChars="200" w:firstLine="440"/>
              <w:rPr>
                <w:rFonts w:ascii="仿宋" w:eastAsia="仿宋" w:hAnsi="仿宋"/>
                <w:kern w:val="2"/>
                <w:sz w:val="21"/>
                <w:szCs w:val="24"/>
              </w:rPr>
            </w:pPr>
            <w:r>
              <w:rPr>
                <w:rFonts w:ascii="仿宋" w:eastAsia="仿宋" w:hAnsi="仿宋" w:hint="eastAsia"/>
              </w:rPr>
              <w:t>1.《国务院关于投资体制改革的决定》（国发〔2004〕20号）：“五、加强和改进投资的监督管理（一）建立和完善政府投资监管体系：完善重大项目稽察制度”。</w:t>
            </w:r>
          </w:p>
          <w:p w:rsidR="00A568FA" w:rsidRDefault="00A568FA" w:rsidP="00A568FA">
            <w:pPr>
              <w:widowControl w:val="0"/>
              <w:ind w:firstLineChars="200" w:firstLine="440"/>
              <w:rPr>
                <w:rFonts w:ascii="仿宋" w:eastAsia="仿宋" w:hAnsi="仿宋"/>
                <w:kern w:val="2"/>
                <w:sz w:val="21"/>
                <w:szCs w:val="24"/>
              </w:rPr>
            </w:pPr>
            <w:r>
              <w:rPr>
                <w:rFonts w:ascii="仿宋" w:eastAsia="仿宋" w:hAnsi="仿宋" w:hint="eastAsia"/>
              </w:rPr>
              <w:t>2.《湖南省发展和改革委员会主要职责内设机构和人员编制规定》（湘政办发〔2014〕104号）：“三、（十九）组织开展对重大建设项目的稽察和监管”。</w:t>
            </w:r>
          </w:p>
        </w:tc>
        <w:tc>
          <w:tcPr>
            <w:tcW w:w="735" w:type="dxa"/>
            <w:tcBorders>
              <w:top w:val="single" w:sz="4" w:space="0" w:color="auto"/>
              <w:left w:val="single" w:sz="4" w:space="0" w:color="auto"/>
              <w:bottom w:val="single" w:sz="4" w:space="0" w:color="auto"/>
              <w:right w:val="single" w:sz="4" w:space="0" w:color="auto"/>
            </w:tcBorders>
            <w:vAlign w:val="center"/>
          </w:tcPr>
          <w:p w:rsidR="00A568FA" w:rsidRDefault="00A568FA">
            <w:pPr>
              <w:spacing w:line="260" w:lineRule="exact"/>
              <w:jc w:val="both"/>
              <w:rPr>
                <w:rFonts w:ascii="仿宋" w:eastAsia="仿宋" w:hAnsi="仿宋"/>
                <w:color w:val="000000"/>
                <w:sz w:val="21"/>
                <w:szCs w:val="24"/>
              </w:rPr>
            </w:pPr>
          </w:p>
        </w:tc>
      </w:tr>
      <w:tr w:rsidR="00A568FA" w:rsidTr="00A568FA">
        <w:trPr>
          <w:gridBefore w:val="1"/>
          <w:gridAfter w:val="1"/>
          <w:wBefore w:w="34" w:type="dxa"/>
          <w:wAfter w:w="399" w:type="dxa"/>
          <w:trHeight w:val="1644"/>
        </w:trPr>
        <w:tc>
          <w:tcPr>
            <w:tcW w:w="779"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28</w:t>
            </w:r>
          </w:p>
        </w:tc>
        <w:tc>
          <w:tcPr>
            <w:tcW w:w="2899"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中央预算内投资补助和贴息资金项目实施情况监督</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行政监督</w:t>
            </w:r>
          </w:p>
        </w:tc>
        <w:tc>
          <w:tcPr>
            <w:tcW w:w="8742"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150" w:firstLine="330"/>
              <w:rPr>
                <w:rFonts w:ascii="仿宋" w:eastAsia="仿宋" w:hAnsi="仿宋"/>
                <w:kern w:val="2"/>
                <w:sz w:val="21"/>
                <w:szCs w:val="24"/>
              </w:rPr>
            </w:pPr>
            <w:r>
              <w:rPr>
                <w:rFonts w:ascii="仿宋" w:eastAsia="仿宋" w:hAnsi="仿宋" w:hint="eastAsia"/>
              </w:rPr>
              <w:t>《中央预算内投资补助和贴息项目管理办法》（国家发展和改革委令第3号）第二十四条 国家发展改革委、各级地方政府发展改革部门应当依据职责分工，对使用投资补助和贴息资金的项目加强监管，防止转移、侵占或挪用投资补助和贴息资金，保证政府投资资金的合理使用和项目顺利建设实施。</w:t>
            </w:r>
          </w:p>
        </w:tc>
        <w:tc>
          <w:tcPr>
            <w:tcW w:w="735" w:type="dxa"/>
            <w:tcBorders>
              <w:top w:val="single" w:sz="4" w:space="0" w:color="auto"/>
              <w:left w:val="single" w:sz="4" w:space="0" w:color="auto"/>
              <w:bottom w:val="single" w:sz="4" w:space="0" w:color="auto"/>
              <w:right w:val="single" w:sz="4" w:space="0" w:color="auto"/>
            </w:tcBorders>
            <w:vAlign w:val="center"/>
          </w:tcPr>
          <w:p w:rsidR="00A568FA" w:rsidRDefault="00A568FA">
            <w:pPr>
              <w:spacing w:line="260" w:lineRule="exact"/>
              <w:jc w:val="both"/>
              <w:rPr>
                <w:rFonts w:ascii="仿宋" w:eastAsia="仿宋" w:hAnsi="仿宋"/>
                <w:color w:val="000000"/>
                <w:sz w:val="21"/>
                <w:szCs w:val="24"/>
              </w:rPr>
            </w:pPr>
          </w:p>
        </w:tc>
      </w:tr>
      <w:tr w:rsidR="00A568FA" w:rsidTr="00A568FA">
        <w:trPr>
          <w:gridBefore w:val="1"/>
          <w:gridAfter w:val="1"/>
          <w:wBefore w:w="34" w:type="dxa"/>
          <w:wAfter w:w="399" w:type="dxa"/>
          <w:trHeight w:val="5246"/>
        </w:trPr>
        <w:tc>
          <w:tcPr>
            <w:tcW w:w="779"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29</w:t>
            </w:r>
          </w:p>
        </w:tc>
        <w:tc>
          <w:tcPr>
            <w:tcW w:w="2899"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节能监管</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行政监督</w:t>
            </w:r>
          </w:p>
        </w:tc>
        <w:tc>
          <w:tcPr>
            <w:tcW w:w="8742" w:type="dxa"/>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ind w:firstLineChars="200" w:firstLine="440"/>
              <w:rPr>
                <w:rFonts w:ascii="仿宋" w:eastAsia="仿宋" w:hAnsi="仿宋"/>
                <w:kern w:val="2"/>
                <w:sz w:val="21"/>
                <w:szCs w:val="24"/>
              </w:rPr>
            </w:pPr>
            <w:r>
              <w:rPr>
                <w:rFonts w:ascii="仿宋" w:eastAsia="仿宋" w:hAnsi="仿宋" w:hint="eastAsia"/>
              </w:rPr>
              <w:t>1.《中华人民共和国节约能源法》第十条第二款：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rsidR="00A568FA" w:rsidRDefault="00A568FA" w:rsidP="00A568FA">
            <w:pPr>
              <w:ind w:firstLineChars="200" w:firstLine="440"/>
              <w:rPr>
                <w:rFonts w:ascii="仿宋" w:eastAsia="仿宋" w:hAnsi="仿宋"/>
              </w:rPr>
            </w:pPr>
            <w:r>
              <w:rPr>
                <w:rFonts w:ascii="仿宋" w:eastAsia="仿宋" w:hAnsi="仿宋" w:hint="eastAsia"/>
              </w:rPr>
              <w:t>2.《固定资产投资项目节能评估和审查暂行办法》（国家发改委令2010年第6号），第十七条，在固定资产投资项目设计、施工及投入使用过程中，节能审查机关负责对节能评估文件及其节能审查意见、节能登记表及其节能登记备案意见的落实情况进行监督检查。</w:t>
            </w:r>
          </w:p>
          <w:p w:rsidR="00A568FA" w:rsidRDefault="00A568FA" w:rsidP="00A568FA">
            <w:pPr>
              <w:ind w:firstLineChars="200" w:firstLine="440"/>
              <w:rPr>
                <w:rFonts w:ascii="仿宋" w:eastAsia="仿宋" w:hAnsi="仿宋"/>
              </w:rPr>
            </w:pPr>
            <w:r>
              <w:rPr>
                <w:rFonts w:ascii="仿宋" w:eastAsia="仿宋" w:hAnsi="仿宋" w:hint="eastAsia"/>
              </w:rPr>
              <w:t>3.《固定资产投资项目节能评估和审查暂行办法》（国家发改委令2010年第6号），第二十二条，对未按本办法规定进行节能评估和审查，或节能审查未获通过，擅自开工建设或擅自投入生产、使用的固定资产投资项目，由节能审查机关责令停止建设或停止生产、使用，限期改造；不能改造或逾期不改造的生产性项目，由节能审查机关报请本级人民政府按照国务院规定的权限责令关闭；并依法追究有关责任人的责任。</w:t>
            </w:r>
          </w:p>
          <w:p w:rsidR="00A568FA" w:rsidRDefault="00A568FA" w:rsidP="00A568FA">
            <w:pPr>
              <w:widowControl w:val="0"/>
              <w:ind w:firstLineChars="200" w:firstLine="440"/>
              <w:jc w:val="both"/>
              <w:rPr>
                <w:rFonts w:ascii="仿宋" w:eastAsia="仿宋" w:hAnsi="仿宋"/>
                <w:kern w:val="2"/>
                <w:sz w:val="21"/>
                <w:szCs w:val="24"/>
              </w:rPr>
            </w:pPr>
            <w:r>
              <w:rPr>
                <w:rFonts w:ascii="仿宋" w:eastAsia="仿宋" w:hAnsi="仿宋" w:hint="eastAsia"/>
              </w:rPr>
              <w:t>4.《湖南省人民政府办公厅关于印发湖南省发展和改革委员会主要职责内设机构和人员编制规定的通知》（湘政办发〔2014〕104号）一（二）4.将省经济和信息化委员会的国民经济运行调节、节能监管职责划入省发展和改革委员会。三、（十四）负责节能</w:t>
            </w:r>
            <w:r>
              <w:rPr>
                <w:rFonts w:ascii="仿宋" w:eastAsia="仿宋" w:hAnsi="仿宋" w:hint="eastAsia"/>
              </w:rPr>
              <w:lastRenderedPageBreak/>
              <w:t>监督管理工作；</w:t>
            </w:r>
          </w:p>
        </w:tc>
        <w:tc>
          <w:tcPr>
            <w:tcW w:w="735" w:type="dxa"/>
            <w:tcBorders>
              <w:top w:val="single" w:sz="4" w:space="0" w:color="auto"/>
              <w:left w:val="single" w:sz="4" w:space="0" w:color="auto"/>
              <w:bottom w:val="single" w:sz="4" w:space="0" w:color="auto"/>
              <w:right w:val="single" w:sz="4" w:space="0" w:color="auto"/>
            </w:tcBorders>
            <w:vAlign w:val="center"/>
          </w:tcPr>
          <w:p w:rsidR="00A568FA" w:rsidRDefault="00A568FA">
            <w:pPr>
              <w:spacing w:line="260" w:lineRule="exact"/>
              <w:jc w:val="both"/>
              <w:rPr>
                <w:rFonts w:ascii="仿宋" w:eastAsia="仿宋" w:hAnsi="仿宋"/>
                <w:color w:val="000000"/>
                <w:sz w:val="21"/>
                <w:szCs w:val="24"/>
              </w:rPr>
            </w:pPr>
          </w:p>
        </w:tc>
      </w:tr>
      <w:tr w:rsidR="00A568FA" w:rsidTr="00A568FA">
        <w:trPr>
          <w:trHeight w:val="302"/>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仿宋" w:eastAsia="仿宋" w:hAnsi="仿宋"/>
                <w:color w:val="000000"/>
                <w:sz w:val="21"/>
                <w:szCs w:val="24"/>
              </w:rPr>
            </w:pPr>
            <w:r>
              <w:rPr>
                <w:rFonts w:ascii="仿宋" w:eastAsia="仿宋" w:hAnsi="仿宋" w:hint="eastAsia"/>
                <w:color w:val="000000"/>
              </w:rPr>
              <w:lastRenderedPageBreak/>
              <w:t>序号</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事项名称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类别</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实施依据</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备注</w:t>
            </w:r>
          </w:p>
        </w:tc>
      </w:tr>
      <w:tr w:rsidR="00A568FA" w:rsidTr="00A568FA">
        <w:trPr>
          <w:trHeight w:val="5067"/>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30</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权限内省预算内基建投资及专项资金安排</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其他行政权力</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ind w:firstLineChars="200" w:firstLine="440"/>
              <w:rPr>
                <w:rFonts w:ascii="仿宋" w:eastAsia="仿宋" w:hAnsi="仿宋"/>
                <w:kern w:val="2"/>
                <w:sz w:val="21"/>
                <w:szCs w:val="24"/>
              </w:rPr>
            </w:pPr>
            <w:r>
              <w:rPr>
                <w:rFonts w:ascii="仿宋" w:eastAsia="仿宋" w:hAnsi="仿宋" w:hint="eastAsia"/>
              </w:rPr>
              <w:t>1.《国务院关于投资体制改革的决定》（国发〔2004〕20号）三、完善政府投资体制，规范政府投资行为。（三）规范政府投资资金管理。编制政府投资的中长期规划和年度计划，统筹安排、合理使用各类政府投资资金，包括预算内投资、各类专项建设基金、统借国外贷款等。政府投资资金按项目安排，根据资金来源、项目性质和调控需要，可分别采取直接投资、资本金注入、投资补助、转贷和贷款贴息等方式。以资本金注入方式投入的，要确定出资人代表。要针对不同的资金类型和资金运用方式，确定相应的管理办法，逐步实现政府投资的决策程序和资金管理的科学化、制度化和规范化。</w:t>
            </w:r>
          </w:p>
          <w:p w:rsidR="00A568FA" w:rsidRDefault="00A568FA" w:rsidP="00A568FA">
            <w:pPr>
              <w:ind w:firstLineChars="200" w:firstLine="440"/>
              <w:rPr>
                <w:rFonts w:ascii="仿宋" w:eastAsia="仿宋" w:hAnsi="仿宋"/>
              </w:rPr>
            </w:pPr>
            <w:r>
              <w:rPr>
                <w:rFonts w:ascii="仿宋" w:eastAsia="仿宋" w:hAnsi="仿宋" w:hint="eastAsia"/>
              </w:rPr>
              <w:t>2.《中央预算内投资补助和贴息项目管理办法》（2013年第3号令）第十七条 对于补助地方的数量多、范围广、单项资金少的项目，国家发展改革委可以下达年度投资规模计划，明确投资目录、建设任务、补助标准和工作要求等，由省级发展改革部门分解安排到具体项目，报国家发展改革委备案。省级发展改革部门要对分解安排具体项目的合规性负责，国家发展改革委要加大监督检查工作力度。</w:t>
            </w:r>
          </w:p>
          <w:p w:rsidR="00A568FA" w:rsidRDefault="00A568FA" w:rsidP="00A568FA">
            <w:pPr>
              <w:widowControl w:val="0"/>
              <w:ind w:firstLineChars="200" w:firstLine="440"/>
              <w:jc w:val="both"/>
              <w:rPr>
                <w:rFonts w:ascii="仿宋" w:eastAsia="仿宋" w:hAnsi="仿宋"/>
                <w:kern w:val="2"/>
                <w:sz w:val="21"/>
                <w:szCs w:val="24"/>
              </w:rPr>
            </w:pPr>
            <w:r>
              <w:rPr>
                <w:rFonts w:ascii="仿宋" w:eastAsia="仿宋" w:hAnsi="仿宋" w:hint="eastAsia"/>
              </w:rPr>
              <w:t>3.《湖南省人民政府办公厅关于印发湖南省发展和改革委员会主要职责内设机构和人员编制规定的通知》（湘政办发〔2014〕104号）：“二（五）统筹安排省级财政性建设资金和投资项目，编制下达政府投资年度计划；（六）提出年度省预算内建设资金的投资规模、使用方向和安排意见，编制下达省基本建设投资计划；</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spacing w:line="260" w:lineRule="exact"/>
              <w:jc w:val="both"/>
              <w:rPr>
                <w:rFonts w:ascii="仿宋" w:eastAsia="仿宋" w:hAnsi="仿宋"/>
                <w:color w:val="000000"/>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31</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经营者不执行政府指导价和政府定价的价格违法行为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150" w:firstLine="330"/>
              <w:jc w:val="both"/>
              <w:rPr>
                <w:rFonts w:ascii="仿宋" w:eastAsia="仿宋" w:hAnsi="仿宋"/>
                <w:kern w:val="2"/>
                <w:sz w:val="21"/>
                <w:szCs w:val="24"/>
              </w:rPr>
            </w:pPr>
            <w:r>
              <w:rPr>
                <w:rFonts w:ascii="仿宋" w:eastAsia="仿宋" w:hAnsi="仿宋" w:hint="eastAsia"/>
              </w:rPr>
              <w:t>《中华人民共和国价格法》第十二条：经营者进行价格活动，应当遵守法律、法规，执行依法制定的政府指导价、政府定价和法定的价格干预措施、紧急措施。第三十九条 经营者不执行政府指导价、政府定价以及法定的价格干预措施、紧急措施的，责令改正，没收违法所得，可以并处违法所得五倍以下的罚款；没有违法所得的，可以处以罚款；情节严重的，责令停业整顿。《价格违法行为行政处罚规定》第九条：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第十一条：本规定第四条、第七条至第九条规定</w:t>
            </w:r>
            <w:r>
              <w:rPr>
                <w:rFonts w:ascii="仿宋" w:eastAsia="仿宋" w:hAnsi="仿宋" w:hint="eastAsia"/>
              </w:rPr>
              <w:lastRenderedPageBreak/>
              <w:t>中经营者为个人的，对其没有违法所得的价格违法行为，可以处10万元以下的罚款。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50" w:firstLine="110"/>
              <w:jc w:val="both"/>
              <w:rPr>
                <w:rFonts w:ascii="仿宋" w:eastAsia="仿宋" w:hAnsi="仿宋"/>
                <w:kern w:val="2"/>
                <w:sz w:val="21"/>
                <w:szCs w:val="24"/>
              </w:rPr>
            </w:pPr>
            <w:r>
              <w:rPr>
                <w:rFonts w:ascii="仿宋" w:eastAsia="仿宋" w:hAnsi="仿宋" w:hint="eastAsia"/>
              </w:rPr>
              <w:lastRenderedPageBreak/>
              <w:t>32</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经营者不执行法定的价格干预措施、紧急措施的价格违法行为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00" w:lineRule="auto"/>
              <w:ind w:firstLineChars="150" w:firstLine="330"/>
              <w:jc w:val="both"/>
              <w:rPr>
                <w:rFonts w:ascii="仿宋" w:eastAsia="仿宋" w:hAnsi="仿宋"/>
                <w:kern w:val="2"/>
                <w:sz w:val="21"/>
                <w:szCs w:val="24"/>
              </w:rPr>
            </w:pPr>
            <w:r>
              <w:rPr>
                <w:rFonts w:ascii="仿宋" w:eastAsia="仿宋" w:hAnsi="仿宋" w:hint="eastAsia"/>
              </w:rPr>
              <w:t>《中华人民共和国价格法》第十二条：经营者进行价格活动，应当遵守法律、法规，执行依法制定的政府指导价、政府定价和法定的价格干预措施、紧急措施。第三十九条 经营者不执行政府指导价、政府定价以及法定的价格干预措施、紧急措施的，责令改正，没收违法所得，可以并处违法所得五倍以下的罚款；没有违法所得的，可以处以罚款；情节严重的，责令停业整顿。《价格违法行为行政处罚规定》第十条：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第十一条第二款：本规定第五条、第六条、第十条规定中经营者为个人的，对其没有违法所得的价格违法行为，按照前款规定处罚；情节严重的，处10万元以上50万元以下的罚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rPr>
          <w:trHeight w:val="606"/>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33</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rPr>
                <w:rFonts w:ascii="仿宋" w:eastAsia="仿宋" w:hAnsi="仿宋"/>
                <w:kern w:val="2"/>
                <w:sz w:val="21"/>
                <w:szCs w:val="24"/>
              </w:rPr>
            </w:pPr>
            <w:r>
              <w:rPr>
                <w:rFonts w:ascii="仿宋" w:eastAsia="仿宋" w:hAnsi="仿宋" w:hint="eastAsia"/>
              </w:rPr>
              <w:t>经营者销售、收购商品和提供服务时不按照政府价格主管部门的规定明码标价的价格违法行为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00" w:lineRule="auto"/>
              <w:ind w:firstLineChars="150" w:firstLine="330"/>
              <w:jc w:val="both"/>
              <w:rPr>
                <w:rFonts w:ascii="仿宋" w:eastAsia="仿宋" w:hAnsi="仿宋"/>
                <w:kern w:val="2"/>
                <w:sz w:val="21"/>
                <w:szCs w:val="24"/>
              </w:rPr>
            </w:pPr>
            <w:r>
              <w:rPr>
                <w:rFonts w:ascii="仿宋" w:eastAsia="仿宋" w:hAnsi="仿宋" w:hint="eastAsia"/>
              </w:rPr>
              <w:t>《中华人民共和国价格法》第十三条：经营者销售、收购商品和提供服务，应当按照政府价格主管部门的规定明码标价，注明商品的品名、产地、规格、等级、计价单位、价格或者服务的项目、收费标准等有关情况。经营者不得在标价之外加价出售商品，不得收取任何未予标明的费用。第四十二条：经营者违反明码标价规定的，责令改正，没收违法所得，可以并处五千元以下的罚款。《价格违法行为行政处罚规定》第十三条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关于商品和服务实行明码标价的规定》（国家计委令第8号）第二十一条 经营者有下列行为之一的，由价格主管部门责令改正，没收违法所得，可以并处5000元以下的罚款；没有违法所得的，可以处以5000元以下的罚款。（一）不明码标价的；</w:t>
            </w:r>
            <w:r>
              <w:rPr>
                <w:rFonts w:ascii="仿宋" w:eastAsia="仿宋" w:hAnsi="仿宋" w:hint="eastAsia"/>
              </w:rPr>
              <w:lastRenderedPageBreak/>
              <w:t>（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center"/>
              <w:rPr>
                <w:rFonts w:ascii="仿宋" w:eastAsia="仿宋" w:hAnsi="仿宋"/>
                <w:kern w:val="2"/>
                <w:sz w:val="21"/>
                <w:szCs w:val="24"/>
              </w:rPr>
            </w:pPr>
          </w:p>
        </w:tc>
      </w:tr>
      <w:tr w:rsidR="00A568FA" w:rsidTr="00A568FA">
        <w:trPr>
          <w:trHeight w:val="7614"/>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34</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经营者不正当价格行为的价格违法行为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150" w:firstLine="330"/>
              <w:jc w:val="both"/>
              <w:rPr>
                <w:rFonts w:ascii="仿宋" w:eastAsia="仿宋" w:hAnsi="仿宋"/>
                <w:kern w:val="2"/>
                <w:sz w:val="21"/>
                <w:szCs w:val="24"/>
              </w:rPr>
            </w:pPr>
            <w:r>
              <w:rPr>
                <w:rFonts w:ascii="仿宋" w:eastAsia="仿宋" w:hAnsi="仿宋" w:hint="eastAsia"/>
              </w:rPr>
              <w:t>《中华人民共和国价格法》第十四条 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六）采取抬高等级或者压低等级等手段收购、销售商品或者提供服务，变相提高或者压低价格；（七）违反法律、法规的规定牟取暴利；（八）法律、行政法规禁止的其他不正当价格行为。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价格违法行为行政处罚规定》第四条：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一） 除依法降价处理鲜活商品、季节性商品、积压商品等商品外，为了排挤竞争对手或者独占市场，以低于成本的价格倾销，扰乱正常的生产经营秩序，损害国家利益或者其他经营者的合法权益的；（二）提供相同商品或者服务，对具有同等交易条件的其他经营者实行价格歧视的。第五条：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w:t>
            </w:r>
            <w:r>
              <w:rPr>
                <w:rFonts w:ascii="仿宋" w:eastAsia="仿宋" w:hAnsi="仿宋" w:hint="eastAsia"/>
              </w:rPr>
              <w:lastRenderedPageBreak/>
              <w:t>处罚；对行业协会或者其他单位，可以处50万元（转下页）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rPr>
          <w:trHeight w:val="427"/>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仿宋" w:eastAsia="仿宋" w:hAnsi="仿宋"/>
                <w:color w:val="000000"/>
                <w:sz w:val="21"/>
                <w:szCs w:val="24"/>
              </w:rPr>
            </w:pPr>
            <w:r>
              <w:rPr>
                <w:rFonts w:ascii="仿宋" w:eastAsia="仿宋" w:hAnsi="仿宋" w:hint="eastAsia"/>
                <w:color w:val="000000"/>
              </w:rPr>
              <w:lastRenderedPageBreak/>
              <w:t>序号</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事项名称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类别</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实施依据</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备注</w:t>
            </w:r>
          </w:p>
        </w:tc>
      </w:tr>
      <w:tr w:rsidR="00A568FA" w:rsidTr="00A568FA">
        <w:trPr>
          <w:trHeight w:val="8471"/>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35</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经营者不正当价格行为的价格违法行为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接上页）以下的罚款，情节严重的，由登记管理机关依法撤销登记、吊销执照。第六条：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告诫仍继续囤积的；（三）利用其他手段哄抬价格，推动商品价格过快、过高上涨的。行业协会或者为商品交易提供服务的单位有前款规定的违法行为的，可以处50万元以下的罚款；情节严重的，由登记管理机关依法撤销登记、吊销执照。前两款规定以外的其他单位散布虚假涨价信息，扰乱市场价格秩序，依法应当由其他主管机关查处的，价格主管部门可以提出依法处罚的建议，有关主管机关应当依法处罚。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第八条：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第十一条：本规定第四条、第七条至第九条规定中经营者为个人的，对其没有违法所得的价格违法行为，可以处10万元以下的罚款。本规定第五条、第六条、第十条规定中经营者为个人的，对其没有违法所得的价格违法行为，按照前款规定处罚；情节严重的，处10万元以上50万元以下的罚款。第十二条 经营者违反法律、法规的规定牟取暴利的，责令改正，没收违法所得，可以并处违法所得5倍以下的罚款；情节严重的，责令停业整顿，或者由工商行政管理机关吊销营业执照。</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rPr>
          <w:trHeight w:val="427"/>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仿宋" w:eastAsia="仿宋" w:hAnsi="仿宋"/>
                <w:color w:val="000000"/>
                <w:sz w:val="21"/>
                <w:szCs w:val="24"/>
              </w:rPr>
            </w:pPr>
            <w:r>
              <w:rPr>
                <w:rFonts w:ascii="仿宋" w:eastAsia="仿宋" w:hAnsi="仿宋" w:hint="eastAsia"/>
                <w:color w:val="000000"/>
              </w:rPr>
              <w:t>序号</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事项名称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类别</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实施依据</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备注</w:t>
            </w: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36</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收费违法行为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lastRenderedPageBreak/>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225" w:firstLine="495"/>
              <w:jc w:val="both"/>
              <w:rPr>
                <w:rFonts w:ascii="仿宋" w:eastAsia="仿宋" w:hAnsi="仿宋"/>
                <w:kern w:val="2"/>
                <w:sz w:val="21"/>
                <w:szCs w:val="24"/>
              </w:rPr>
            </w:pPr>
            <w:r>
              <w:rPr>
                <w:rFonts w:ascii="仿宋" w:eastAsia="仿宋" w:hAnsi="仿宋" w:hint="eastAsia"/>
              </w:rPr>
              <w:lastRenderedPageBreak/>
              <w:t>《湖南省行政事业性收费管理条例》第十六条：禁止任何单位和个人超越权限审</w:t>
            </w:r>
            <w:r>
              <w:rPr>
                <w:rFonts w:ascii="仿宋" w:eastAsia="仿宋" w:hAnsi="仿宋" w:hint="eastAsia"/>
              </w:rPr>
              <w:lastRenderedPageBreak/>
              <w:t>批、设立行政事业性收费项目和超越权限核定、提高行政事业性收费标准。行政机关以及其他依法行使行政管理职权的单位在其职责范围内办理公务，不准收费；同一管理行为已经批准收取管理费的，不得又对发放证照收费。法律、法规另有规定的除外。行政机关以及其他依法行使行政管理职权的单位，不得将职责范围内的公务交所属事业单位以有偿服务名义进行收费。第二十六条 违反本条例规定，有下列行为之一的，由物价行政管理部门、财政行政管理部门按照各自职责，责令停止违法行为，限期将违法所得清退原交费者，无法退还的予以没收；对收费单位处以违法所得金额一倍以下的罚款，对直接责任人和主管负责人处以一千元以下的罚款；监察部门或者上级主管部门对直接责任人可以给予行政处分；（一）自立收费项目或者不按照物价、财政行政管理部门文件规定的标准和范围收费的；（二）不开具规定的收费票据或者扩大收费票据使用范围收费的；（三）收费单位合并、分设、改变名称后未报经同级物价、财政行政管理部门批准继续收费的；（四）收费单位被撤消或者收费项目被取消后不终止收费的；第二十七条 违反本条例规定，有下列行为之一的，由物价、财政行政管理部门按照各自职责，责令限期改正，对直接责任人和主管负责人处以一千元以下的罚款；（一）收费单位不按规定公布收费项目、标准的；（二）收费单位不按规定如实提供账册、收费票据等资料的。</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rPr>
          <w:trHeight w:val="3802"/>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00" w:lineRule="auto"/>
              <w:jc w:val="center"/>
              <w:rPr>
                <w:rFonts w:ascii="仿宋" w:eastAsia="仿宋" w:hAnsi="仿宋"/>
                <w:kern w:val="2"/>
                <w:sz w:val="21"/>
                <w:szCs w:val="24"/>
              </w:rPr>
            </w:pPr>
            <w:r>
              <w:rPr>
                <w:rFonts w:ascii="仿宋" w:eastAsia="仿宋" w:hAnsi="仿宋" w:hint="eastAsia"/>
              </w:rPr>
              <w:lastRenderedPageBreak/>
              <w:t>37</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00" w:lineRule="auto"/>
              <w:jc w:val="both"/>
              <w:rPr>
                <w:rFonts w:ascii="仿宋" w:eastAsia="仿宋" w:hAnsi="仿宋"/>
                <w:kern w:val="2"/>
                <w:sz w:val="21"/>
                <w:szCs w:val="24"/>
              </w:rPr>
            </w:pPr>
            <w:r>
              <w:rPr>
                <w:rFonts w:ascii="仿宋" w:eastAsia="仿宋" w:hAnsi="仿宋" w:hint="eastAsia"/>
              </w:rPr>
              <w:t>不配合价格监督检查</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300" w:lineRule="auto"/>
              <w:jc w:val="center"/>
              <w:rPr>
                <w:rFonts w:ascii="仿宋" w:eastAsia="仿宋" w:hAnsi="仿宋"/>
                <w:kern w:val="2"/>
                <w:sz w:val="21"/>
                <w:szCs w:val="24"/>
              </w:rPr>
            </w:pPr>
            <w:r>
              <w:rPr>
                <w:rFonts w:ascii="仿宋" w:eastAsia="仿宋" w:hAnsi="仿宋" w:hint="eastAsia"/>
              </w:rPr>
              <w:t>行政</w:t>
            </w:r>
          </w:p>
          <w:p w:rsidR="00A568FA" w:rsidRDefault="00A568FA">
            <w:pPr>
              <w:widowControl w:val="0"/>
              <w:spacing w:line="300" w:lineRule="auto"/>
              <w:jc w:val="center"/>
              <w:rPr>
                <w:rFonts w:ascii="仿宋" w:eastAsia="仿宋" w:hAnsi="仿宋"/>
                <w:kern w:val="2"/>
                <w:sz w:val="21"/>
                <w:szCs w:val="24"/>
              </w:rPr>
            </w:pPr>
            <w:r>
              <w:rPr>
                <w:rFonts w:ascii="仿宋" w:eastAsia="仿宋" w:hAnsi="仿宋" w:hint="eastAsia"/>
              </w:rPr>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00" w:lineRule="auto"/>
              <w:ind w:firstLineChars="150" w:firstLine="330"/>
              <w:jc w:val="both"/>
              <w:rPr>
                <w:rFonts w:ascii="仿宋" w:eastAsia="仿宋" w:hAnsi="仿宋"/>
                <w:kern w:val="2"/>
                <w:sz w:val="21"/>
                <w:szCs w:val="24"/>
              </w:rPr>
            </w:pPr>
            <w:r>
              <w:rPr>
                <w:rFonts w:ascii="仿宋" w:eastAsia="仿宋" w:hAnsi="仿宋" w:hint="eastAsia"/>
              </w:rPr>
              <w:t>《中华人民共和国价格法》第三十五条：经营者接受政府价格主管部门的监督检查时，应当如实提供价格监督检查所必需的帐簿、单据、凭证、文件以及其他资料。第四十三条：经营者被责令暂停相关营业而不停止的，或者转移、隐匿、销毁依法登记保存的财物的，处相关营业所得或者转移、隐匿、销毁的财物价值一倍以上三倍以下的罚款。第四十四条：拒绝按照规定提供监督检查所需资料或者提供虚假资料的，责令改正，予以警告；逾期不改正的，可以处以罚款。《价格违法行为行政处罚规定》第十四条：拒绝提供价格监督检查所需资料或者提供虚假资料的，责令改正，给予警告；逾期不改正的，可以处10万元以下的罚款，对直接负责的主管人员和其他直接责任人员给予纪律处分。</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仿宋" w:eastAsia="仿宋" w:hAnsi="仿宋"/>
                <w:color w:val="000000"/>
                <w:sz w:val="21"/>
                <w:szCs w:val="24"/>
              </w:rPr>
            </w:pPr>
            <w:r>
              <w:rPr>
                <w:rFonts w:ascii="仿宋" w:eastAsia="仿宋" w:hAnsi="仿宋" w:hint="eastAsia"/>
                <w:color w:val="000000"/>
              </w:rPr>
              <w:t>序号</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事项名称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类别</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实施依据</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备注</w:t>
            </w:r>
          </w:p>
        </w:tc>
      </w:tr>
      <w:tr w:rsidR="00A568FA" w:rsidTr="00A568FA">
        <w:trPr>
          <w:trHeight w:val="1561"/>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00" w:lineRule="auto"/>
              <w:jc w:val="center"/>
              <w:rPr>
                <w:rFonts w:ascii="仿宋" w:eastAsia="仿宋" w:hAnsi="仿宋"/>
                <w:kern w:val="2"/>
                <w:sz w:val="21"/>
                <w:szCs w:val="24"/>
              </w:rPr>
            </w:pPr>
            <w:r>
              <w:rPr>
                <w:rFonts w:ascii="仿宋" w:eastAsia="仿宋" w:hAnsi="仿宋" w:hint="eastAsia"/>
              </w:rPr>
              <w:lastRenderedPageBreak/>
              <w:t>38</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00" w:lineRule="auto"/>
              <w:jc w:val="both"/>
              <w:rPr>
                <w:rFonts w:ascii="仿宋" w:eastAsia="仿宋" w:hAnsi="仿宋"/>
                <w:kern w:val="2"/>
                <w:sz w:val="21"/>
                <w:szCs w:val="24"/>
              </w:rPr>
            </w:pPr>
            <w:r>
              <w:rPr>
                <w:rFonts w:ascii="仿宋" w:eastAsia="仿宋" w:hAnsi="仿宋" w:hint="eastAsia"/>
              </w:rPr>
              <w:t>不按规定缴纳罚没款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300" w:lineRule="auto"/>
              <w:jc w:val="center"/>
              <w:rPr>
                <w:rFonts w:ascii="仿宋" w:eastAsia="仿宋" w:hAnsi="仿宋"/>
                <w:kern w:val="2"/>
                <w:sz w:val="21"/>
                <w:szCs w:val="24"/>
              </w:rPr>
            </w:pPr>
            <w:r>
              <w:rPr>
                <w:rFonts w:ascii="仿宋" w:eastAsia="仿宋" w:hAnsi="仿宋" w:hint="eastAsia"/>
              </w:rPr>
              <w:t>行政</w:t>
            </w:r>
          </w:p>
          <w:p w:rsidR="00A568FA" w:rsidRDefault="00A568FA">
            <w:pPr>
              <w:widowControl w:val="0"/>
              <w:spacing w:line="300" w:lineRule="auto"/>
              <w:jc w:val="center"/>
              <w:rPr>
                <w:rFonts w:ascii="仿宋" w:eastAsia="仿宋" w:hAnsi="仿宋"/>
                <w:kern w:val="2"/>
                <w:sz w:val="21"/>
                <w:szCs w:val="24"/>
              </w:rPr>
            </w:pPr>
            <w:r>
              <w:rPr>
                <w:rFonts w:ascii="仿宋" w:eastAsia="仿宋" w:hAnsi="仿宋" w:hint="eastAsia"/>
              </w:rPr>
              <w:t>处罚</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150" w:firstLine="330"/>
              <w:jc w:val="both"/>
              <w:rPr>
                <w:rFonts w:ascii="仿宋" w:eastAsia="仿宋" w:hAnsi="仿宋"/>
                <w:kern w:val="2"/>
                <w:sz w:val="21"/>
                <w:szCs w:val="24"/>
              </w:rPr>
            </w:pPr>
            <w:r>
              <w:rPr>
                <w:rFonts w:ascii="仿宋" w:eastAsia="仿宋" w:hAnsi="仿宋" w:hint="eastAsia"/>
              </w:rPr>
              <w:t>《中华人民共和国行政处罚法》第五十一条第一项：(一)到期不缴纳罚款的，每日按罚款数额的百分之三加处罚款；《价格违法行为行政处罚规定》第二十一条 逾期不缴纳罚款的，每日按罚款数额的3％加处罚款；逾期不缴纳违法所得的，每日按违法所得数额的2‰加处罚款。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t>39</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both"/>
              <w:rPr>
                <w:rFonts w:ascii="仿宋" w:eastAsia="仿宋" w:hAnsi="仿宋"/>
                <w:kern w:val="2"/>
                <w:sz w:val="21"/>
                <w:szCs w:val="24"/>
              </w:rPr>
            </w:pPr>
            <w:r>
              <w:rPr>
                <w:rFonts w:ascii="仿宋" w:eastAsia="仿宋" w:hAnsi="仿宋" w:hint="eastAsia"/>
              </w:rPr>
              <w:t>责令暂停相关营业</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360" w:lineRule="auto"/>
              <w:jc w:val="center"/>
              <w:rPr>
                <w:rFonts w:ascii="仿宋" w:eastAsia="仿宋" w:hAnsi="仿宋"/>
                <w:kern w:val="2"/>
                <w:sz w:val="21"/>
                <w:szCs w:val="24"/>
              </w:rPr>
            </w:pPr>
            <w:r>
              <w:rPr>
                <w:rFonts w:ascii="仿宋" w:eastAsia="仿宋" w:hAnsi="仿宋" w:hint="eastAsia"/>
              </w:rPr>
              <w:t>行政</w:t>
            </w:r>
          </w:p>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t>强制</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60" w:lineRule="auto"/>
              <w:ind w:firstLineChars="200" w:firstLine="440"/>
              <w:jc w:val="both"/>
              <w:rPr>
                <w:rFonts w:ascii="仿宋" w:eastAsia="仿宋" w:hAnsi="仿宋"/>
                <w:kern w:val="2"/>
                <w:sz w:val="21"/>
                <w:szCs w:val="24"/>
              </w:rPr>
            </w:pPr>
            <w:r>
              <w:rPr>
                <w:rFonts w:ascii="仿宋" w:eastAsia="仿宋" w:hAnsi="仿宋" w:hint="eastAsia"/>
              </w:rPr>
              <w:t>《中华人民共和国价格法》第三十四条第三项 政府价格主管部门进行价格监督检查时，可以行使下列职权：（三）检查与价格违法行为有关的财物，必要时可以责令当事人暂停相关营业。</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both"/>
              <w:rPr>
                <w:rFonts w:ascii="仿宋" w:eastAsia="仿宋" w:hAnsi="仿宋"/>
                <w:kern w:val="2"/>
                <w:sz w:val="21"/>
                <w:szCs w:val="24"/>
              </w:rPr>
            </w:pPr>
            <w:r>
              <w:rPr>
                <w:rFonts w:ascii="仿宋" w:eastAsia="仿宋" w:hAnsi="仿宋" w:hint="eastAsia"/>
              </w:rPr>
              <w:t>先行登记保存</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360" w:lineRule="auto"/>
              <w:jc w:val="center"/>
              <w:rPr>
                <w:rFonts w:ascii="仿宋" w:eastAsia="仿宋" w:hAnsi="仿宋"/>
                <w:kern w:val="2"/>
                <w:sz w:val="21"/>
                <w:szCs w:val="24"/>
              </w:rPr>
            </w:pPr>
            <w:r>
              <w:rPr>
                <w:rFonts w:ascii="仿宋" w:eastAsia="仿宋" w:hAnsi="仿宋" w:hint="eastAsia"/>
              </w:rPr>
              <w:t>行政</w:t>
            </w:r>
          </w:p>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t>强制</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60" w:lineRule="auto"/>
              <w:ind w:firstLineChars="150" w:firstLine="330"/>
              <w:jc w:val="both"/>
              <w:rPr>
                <w:rFonts w:ascii="仿宋" w:eastAsia="仿宋" w:hAnsi="仿宋"/>
                <w:kern w:val="2"/>
                <w:sz w:val="21"/>
                <w:szCs w:val="24"/>
              </w:rPr>
            </w:pPr>
            <w:r>
              <w:rPr>
                <w:rFonts w:ascii="仿宋" w:eastAsia="仿宋" w:hAnsi="仿宋" w:hint="eastAsia"/>
              </w:rPr>
              <w:t>《中华人民共和国价格法》第三十四条第四项 政府价格主管部门进行价格监督检查时，可以行使下列职权：（四）在证据可能灭失或者以后难以取得的情况下，可以依法先行登记保存，当事人或者有关人员不得转移、隐匿或者销毁。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center"/>
              <w:rPr>
                <w:rFonts w:ascii="仿宋" w:eastAsia="仿宋" w:hAnsi="仿宋"/>
                <w:kern w:val="2"/>
                <w:sz w:val="21"/>
                <w:szCs w:val="24"/>
              </w:rPr>
            </w:pPr>
            <w:r>
              <w:rPr>
                <w:rFonts w:ascii="仿宋" w:eastAsia="仿宋" w:hAnsi="仿宋" w:hint="eastAsia"/>
              </w:rPr>
              <w:t>41</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抵扣预算内拨款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强制</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60" w:lineRule="auto"/>
              <w:ind w:firstLineChars="150" w:firstLine="330"/>
              <w:jc w:val="both"/>
              <w:rPr>
                <w:rFonts w:ascii="仿宋" w:eastAsia="仿宋" w:hAnsi="仿宋"/>
                <w:kern w:val="2"/>
                <w:sz w:val="21"/>
                <w:szCs w:val="24"/>
              </w:rPr>
            </w:pPr>
            <w:r>
              <w:rPr>
                <w:rFonts w:ascii="仿宋" w:eastAsia="仿宋" w:hAnsi="仿宋" w:hint="eastAsia"/>
              </w:rPr>
              <w:t>《湖南省行政事业性收费管理条例》第二十九条：对拒缴违法所得的，物价行政管理部门可以按照有关规定通知其开户银行予以划拨，或者通知财政行政管理部门抵减其预算内拨款。</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jc w:val="both"/>
              <w:rPr>
                <w:rFonts w:ascii="仿宋" w:eastAsia="仿宋" w:hAnsi="仿宋"/>
                <w:kern w:val="2"/>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t>42</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价格违法行为举报奖励</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rPr>
                <w:rFonts w:ascii="仿宋" w:eastAsia="仿宋" w:hAnsi="仿宋"/>
                <w:kern w:val="2"/>
                <w:sz w:val="21"/>
                <w:szCs w:val="24"/>
              </w:rPr>
            </w:pPr>
            <w:r>
              <w:rPr>
                <w:rFonts w:ascii="仿宋" w:eastAsia="仿宋" w:hAnsi="仿宋" w:hint="eastAsia"/>
              </w:rPr>
              <w:t>行政</w:t>
            </w:r>
          </w:p>
          <w:p w:rsidR="00A568FA" w:rsidRDefault="00A568FA">
            <w:pPr>
              <w:widowControl w:val="0"/>
              <w:jc w:val="both"/>
              <w:rPr>
                <w:rFonts w:ascii="仿宋" w:eastAsia="仿宋" w:hAnsi="仿宋"/>
                <w:kern w:val="2"/>
                <w:sz w:val="21"/>
                <w:szCs w:val="24"/>
              </w:rPr>
            </w:pPr>
            <w:r>
              <w:rPr>
                <w:rFonts w:ascii="仿宋" w:eastAsia="仿宋" w:hAnsi="仿宋" w:hint="eastAsia"/>
              </w:rPr>
              <w:t>奖励</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60" w:lineRule="auto"/>
              <w:ind w:firstLineChars="150" w:firstLine="330"/>
              <w:jc w:val="both"/>
              <w:rPr>
                <w:rFonts w:ascii="仿宋" w:eastAsia="仿宋" w:hAnsi="仿宋"/>
                <w:kern w:val="2"/>
                <w:sz w:val="21"/>
                <w:szCs w:val="24"/>
              </w:rPr>
            </w:pPr>
            <w:r>
              <w:rPr>
                <w:rFonts w:ascii="仿宋" w:eastAsia="仿宋" w:hAnsi="仿宋" w:hint="eastAsia"/>
              </w:rPr>
              <w:t>《中华人民共和国价格法》第三十八条第二款：任何单位和个人均有权对价格违法行为进行举报。政府价格主管部门应当对举报者给予鼓励，并负责为举报者保密。《价格违法行为举报处理规定》（国家发改委令第6号）第十六条：价格主管部门应当为举报者保密，并对符合相关规定的举报人给予鼓励。《湖南省价格监督管理条例》第三十四条第三款：县级以上人民政府价格主管部门应当按规定受理价格投诉和举报，及时调查处理，将处理结果告知投诉和举报人，为投诉和举报人保密，并对举报有功人员给予奖励。</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lastRenderedPageBreak/>
              <w:t>43</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价格成本调查和政府定价成本监审</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监督</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00" w:lineRule="auto"/>
              <w:ind w:firstLineChars="150" w:firstLine="330"/>
              <w:jc w:val="both"/>
              <w:rPr>
                <w:rFonts w:ascii="仿宋" w:eastAsia="仿宋" w:hAnsi="仿宋"/>
                <w:kern w:val="2"/>
                <w:sz w:val="21"/>
                <w:szCs w:val="24"/>
              </w:rPr>
            </w:pPr>
            <w:r>
              <w:rPr>
                <w:rFonts w:ascii="仿宋" w:eastAsia="仿宋" w:hAnsi="仿宋" w:hint="eastAsia"/>
              </w:rPr>
              <w:t>《中华人民共和国价格法》第二十二条：政府价格主管部门和其它有关部制定政府指导价格、政府定价，应当开展价格成本调查，听取消费者、经营者和有关方面意见。政府价格主管部门开展对政府指导价、政府定价的价格、成本调查时，有关单位应当如实反映情况，提供必须的帐薄、文件及其它资料。《湖南省服务价格管理条例》第七条：价格主管部门制定政府指导价、政府定价，应当开展成本调查，掌握和了解经营者的经营状况、管理水平、行业服务成本、市场供求状况和社会承受能力，并广泛听取经营者、消费者和行业主管部门以及消费者委员会等方面的意见。《湖南省价格监督管理条例》第八条：价格主管部门制定、调整政府指导价，应当依照国家规定进行成本监审。成本监审工作人员不得泄露经营者的商业秘密；与接受成本监审的经营者有利害关系的，应当回避。《政府制定价格成本监审办法》第四条：成本监审具体工作由各经人民政府价格主管部门的成本调查机构（以下简称成本调查机构）组织实施。各级成本调查机构负责本级主管部门定价权限范围内的成本监审具体事务，也可接受上级价格主管部门委托或下级价格主管部门请求对相关经营者成本实施成本监审。</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rPr>
          <w:trHeight w:val="6320"/>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lastRenderedPageBreak/>
              <w:t>44</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价格行为监督检查</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监督</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00" w:lineRule="auto"/>
              <w:ind w:firstLineChars="150" w:firstLine="330"/>
              <w:jc w:val="both"/>
              <w:rPr>
                <w:rFonts w:ascii="仿宋" w:eastAsia="仿宋" w:hAnsi="仿宋"/>
                <w:kern w:val="2"/>
                <w:sz w:val="21"/>
                <w:szCs w:val="24"/>
              </w:rPr>
            </w:pPr>
            <w:r>
              <w:rPr>
                <w:rFonts w:ascii="仿宋" w:eastAsia="仿宋" w:hAnsi="仿宋" w:hint="eastAsia"/>
              </w:rPr>
              <w:t>《中华人民共和国价格法》第三十三条：县级以上各级人民政府价格主管部门，依法对价格活动进行监督检查，并依照本法的规定对价格违法行为实施行政处罚。《价格违法行为行政处罚规定》第二条：县级以上各级人民政府价格主管部门依法对价格活动进行监督检查，并决定对价格违法行为的行政处罚。《湖南省价格监督管理条例》第三十二条：县级以上人民政府价格主管部门进行价格监督检查时，依法行使下列职权：（一）询问当事人和有关人员，并要求其提供证明材料和有关其他资料；（二）查询、复制账簿、单据、凭证、文件、计算机存储信息及其他资料，核对与价格违法行为有关的银行资料；（三）检查与价格违法行为有关的账物，必要时经价格主管部门负责人同意，可以责令当事人暂停相关营业；（四）在证据可能灭失或者以后难以取得的情况下，可以依法先行登记保存。《湖南省服务价格管理条例》第三条：县级以上人民政府价格主管部门负责本行政区域内的服务价格工作，其他有关部门在各自职责范围内协助做好有关的服务价格工作。第十六条：价格主管部门应当依法加强对服务价格活动的监督检查。</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rPr>
          <w:trHeight w:val="427"/>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仿宋" w:eastAsia="仿宋" w:hAnsi="仿宋"/>
                <w:color w:val="000000"/>
                <w:sz w:val="21"/>
                <w:szCs w:val="24"/>
              </w:rPr>
            </w:pPr>
            <w:r>
              <w:rPr>
                <w:rFonts w:ascii="仿宋" w:eastAsia="仿宋" w:hAnsi="仿宋" w:hint="eastAsia"/>
                <w:color w:val="000000"/>
              </w:rPr>
              <w:t>序号</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事项名称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类别</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实施依据</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备注</w:t>
            </w:r>
          </w:p>
        </w:tc>
      </w:tr>
      <w:tr w:rsidR="00A568FA" w:rsidTr="00A568FA">
        <w:trPr>
          <w:trHeight w:val="958"/>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t>45</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收费行为监督检查</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行政</w:t>
            </w:r>
          </w:p>
          <w:p w:rsidR="00A568FA" w:rsidRDefault="00A568FA">
            <w:pPr>
              <w:widowControl w:val="0"/>
              <w:jc w:val="center"/>
              <w:rPr>
                <w:rFonts w:ascii="仿宋" w:eastAsia="仿宋" w:hAnsi="仿宋"/>
                <w:kern w:val="2"/>
                <w:sz w:val="21"/>
                <w:szCs w:val="24"/>
              </w:rPr>
            </w:pPr>
            <w:r>
              <w:rPr>
                <w:rFonts w:ascii="仿宋" w:eastAsia="仿宋" w:hAnsi="仿宋" w:hint="eastAsia"/>
              </w:rPr>
              <w:t>监督</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300" w:lineRule="auto"/>
              <w:ind w:firstLineChars="150" w:firstLine="330"/>
              <w:jc w:val="both"/>
              <w:rPr>
                <w:rFonts w:ascii="仿宋" w:eastAsia="仿宋" w:hAnsi="仿宋"/>
                <w:kern w:val="2"/>
                <w:sz w:val="21"/>
                <w:szCs w:val="24"/>
              </w:rPr>
            </w:pPr>
            <w:r>
              <w:rPr>
                <w:rFonts w:ascii="仿宋" w:eastAsia="仿宋" w:hAnsi="仿宋" w:hint="eastAsia"/>
              </w:rPr>
              <w:t>《湖南省行政事业性收费管理条例》第二十三条：行政事业性收费单位必须接受物价行政管理部门和其他有关行政管理部门的监督检查，如实提供账册、收费票据等有关资料。</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rPr>
          <w:trHeight w:val="5535"/>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lastRenderedPageBreak/>
              <w:t>46</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价格监测</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其他</w:t>
            </w:r>
          </w:p>
          <w:p w:rsidR="00A568FA" w:rsidRDefault="00A568FA">
            <w:pPr>
              <w:widowControl w:val="0"/>
              <w:jc w:val="center"/>
              <w:rPr>
                <w:rFonts w:ascii="仿宋" w:eastAsia="仿宋" w:hAnsi="仿宋"/>
                <w:kern w:val="2"/>
                <w:sz w:val="21"/>
                <w:szCs w:val="24"/>
              </w:rPr>
            </w:pPr>
            <w:r>
              <w:rPr>
                <w:rFonts w:ascii="仿宋" w:eastAsia="仿宋" w:hAnsi="仿宋" w:hint="eastAsia"/>
              </w:rPr>
              <w:t>权力</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spacing w:line="260" w:lineRule="exact"/>
              <w:ind w:firstLineChars="150" w:firstLine="330"/>
              <w:jc w:val="both"/>
              <w:rPr>
                <w:rFonts w:ascii="仿宋" w:eastAsia="仿宋" w:hAnsi="仿宋"/>
                <w:kern w:val="2"/>
                <w:sz w:val="21"/>
                <w:szCs w:val="24"/>
              </w:rPr>
            </w:pPr>
            <w:r>
              <w:rPr>
                <w:rFonts w:ascii="仿宋" w:eastAsia="仿宋" w:hAnsi="仿宋" w:hint="eastAsia"/>
              </w:rPr>
              <w:t>《中华人民共和国价格法》第二十八条：为适应价格调控和管理的需要，政府价格主管部门应当建立价格监测制度，对重要商品、服务价格的变动进行监测。《价格监测规定》第三条：国务院价格主管部门负责组织和协调全国价格监测工作，县级以上各级人民政府价格主管部门负责组织和协调本地区的价格监测工作。价格监测的具体工作，由各级人民政府价格主管部门的价格监测机构及相关业务机构负责实施。第四条：县级以上各级人民政府价格主管部门要建立健全价格监测机构，明确价格监测工作职责，配备相应的价格监测工作人员，组织开展价格监测工作。第九条：政府价格主管部门应根据价格监测报告制度的规定指定有关国家行政机关、企事业单位以及其他组织作为价格监测定点单位，并发给证书或标志牌。价格监测定点单位要求对所承担的提供价格监测资料的工作给予指导和帮助的，政府价格主管部门应予以指导和帮助。价格监测定点单位需要了解其所提供商品、服务价格的本地区价格平均水平的，政府价格主管部门应予以提供。《湖南省价格监督管理条例》第十七条：经营者进行价格活动，应当遵守下列规定：（二）对价格主管部门依法开展的定价成本监审、价格监测和其他价格监督检查活动予以配合，提供有关账簿、单据、凭证、文件、电子信息等资料，并保证资料真实、准确、完整。第二十五条：县级以上人民政府价格主管部门应当建立健全价格监测制度，完善价格监测机构和网络，依照国家规定加强对重要商品和服务价格变动情况的监测，确定价格监测定点单位，依法跟踪、采集、分析、预测市场价格情况，为价格调控管理提供决策依据。价格监测定点单位应当按照规定及时、准确提供价格监测资料。</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rPr>
          <w:trHeight w:val="1405"/>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t>47</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价格投诉争议调解</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其他</w:t>
            </w:r>
          </w:p>
          <w:p w:rsidR="00A568FA" w:rsidRDefault="00A568FA">
            <w:pPr>
              <w:widowControl w:val="0"/>
              <w:jc w:val="center"/>
              <w:rPr>
                <w:rFonts w:ascii="仿宋" w:eastAsia="仿宋" w:hAnsi="仿宋"/>
                <w:kern w:val="2"/>
                <w:sz w:val="21"/>
                <w:szCs w:val="24"/>
              </w:rPr>
            </w:pPr>
            <w:r>
              <w:rPr>
                <w:rFonts w:ascii="仿宋" w:eastAsia="仿宋" w:hAnsi="仿宋" w:hint="eastAsia"/>
              </w:rPr>
              <w:t>权力</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rsidP="00A568FA">
            <w:pPr>
              <w:widowControl w:val="0"/>
              <w:ind w:firstLineChars="150" w:firstLine="330"/>
              <w:jc w:val="both"/>
              <w:rPr>
                <w:rFonts w:ascii="仿宋" w:eastAsia="仿宋" w:hAnsi="仿宋"/>
                <w:kern w:val="2"/>
                <w:sz w:val="21"/>
                <w:szCs w:val="24"/>
              </w:rPr>
            </w:pPr>
            <w:r>
              <w:rPr>
                <w:rFonts w:ascii="仿宋" w:eastAsia="仿宋" w:hAnsi="仿宋" w:hint="eastAsia"/>
              </w:rPr>
              <w:t>《价格违法行为举报处理规定》第十三条：价格主管部门对价格投诉实行调解制度，调解应当在当事人双方同意的情况下进行。</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r w:rsidR="00A568FA" w:rsidTr="00A568FA">
        <w:trPr>
          <w:trHeight w:val="710"/>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both"/>
              <w:rPr>
                <w:rFonts w:ascii="仿宋" w:eastAsia="仿宋" w:hAnsi="仿宋"/>
                <w:color w:val="000000"/>
                <w:sz w:val="21"/>
                <w:szCs w:val="24"/>
              </w:rPr>
            </w:pPr>
            <w:r>
              <w:rPr>
                <w:rFonts w:ascii="仿宋" w:eastAsia="仿宋" w:hAnsi="仿宋" w:hint="eastAsia"/>
                <w:color w:val="000000"/>
              </w:rPr>
              <w:t>序号</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事项名称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类别</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实施依据</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spacing w:line="260" w:lineRule="exact"/>
              <w:jc w:val="center"/>
              <w:rPr>
                <w:rFonts w:ascii="仿宋" w:eastAsia="仿宋" w:hAnsi="仿宋"/>
                <w:color w:val="000000"/>
                <w:sz w:val="21"/>
                <w:szCs w:val="24"/>
              </w:rPr>
            </w:pPr>
            <w:r>
              <w:rPr>
                <w:rFonts w:ascii="仿宋" w:eastAsia="仿宋" w:hAnsi="仿宋" w:hint="eastAsia"/>
                <w:color w:val="000000"/>
              </w:rPr>
              <w:t>备注</w:t>
            </w:r>
          </w:p>
        </w:tc>
      </w:tr>
      <w:tr w:rsidR="00A568FA" w:rsidTr="00A568FA">
        <w:trPr>
          <w:trHeight w:val="3067"/>
        </w:trPr>
        <w:tc>
          <w:tcPr>
            <w:tcW w:w="851" w:type="dxa"/>
            <w:gridSpan w:val="3"/>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360" w:lineRule="auto"/>
              <w:jc w:val="center"/>
              <w:rPr>
                <w:rFonts w:ascii="仿宋" w:eastAsia="仿宋" w:hAnsi="仿宋"/>
                <w:kern w:val="2"/>
                <w:sz w:val="21"/>
                <w:szCs w:val="24"/>
              </w:rPr>
            </w:pPr>
            <w:r>
              <w:rPr>
                <w:rFonts w:ascii="仿宋" w:eastAsia="仿宋" w:hAnsi="仿宋" w:hint="eastAsia"/>
              </w:rPr>
              <w:lastRenderedPageBreak/>
              <w:t>48</w:t>
            </w:r>
          </w:p>
        </w:tc>
        <w:tc>
          <w:tcPr>
            <w:tcW w:w="2835" w:type="dxa"/>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jc w:val="both"/>
              <w:rPr>
                <w:rFonts w:ascii="仿宋" w:eastAsia="仿宋" w:hAnsi="仿宋"/>
                <w:kern w:val="2"/>
                <w:sz w:val="21"/>
                <w:szCs w:val="24"/>
              </w:rPr>
            </w:pPr>
            <w:r>
              <w:rPr>
                <w:rFonts w:ascii="仿宋" w:eastAsia="仿宋" w:hAnsi="仿宋" w:hint="eastAsia"/>
              </w:rPr>
              <w:t>制定和调整《定价目录》中规定的商品和服务价格</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jc w:val="center"/>
              <w:rPr>
                <w:rFonts w:ascii="仿宋" w:eastAsia="仿宋" w:hAnsi="仿宋"/>
                <w:kern w:val="2"/>
                <w:sz w:val="21"/>
                <w:szCs w:val="24"/>
              </w:rPr>
            </w:pPr>
            <w:r>
              <w:rPr>
                <w:rFonts w:ascii="仿宋" w:eastAsia="仿宋" w:hAnsi="仿宋" w:hint="eastAsia"/>
              </w:rPr>
              <w:t>其他</w:t>
            </w:r>
          </w:p>
          <w:p w:rsidR="00A568FA" w:rsidRDefault="00A568FA">
            <w:pPr>
              <w:widowControl w:val="0"/>
              <w:jc w:val="center"/>
              <w:rPr>
                <w:rFonts w:ascii="仿宋" w:eastAsia="仿宋" w:hAnsi="仿宋"/>
                <w:kern w:val="2"/>
                <w:sz w:val="21"/>
                <w:szCs w:val="24"/>
              </w:rPr>
            </w:pPr>
            <w:r>
              <w:rPr>
                <w:rFonts w:ascii="仿宋" w:eastAsia="仿宋" w:hAnsi="仿宋" w:hint="eastAsia"/>
              </w:rPr>
              <w:t>权力</w:t>
            </w:r>
          </w:p>
        </w:tc>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A568FA" w:rsidRDefault="00A568FA">
            <w:pPr>
              <w:widowControl w:val="0"/>
              <w:spacing w:line="240" w:lineRule="atLeast"/>
              <w:jc w:val="both"/>
              <w:rPr>
                <w:rFonts w:ascii="仿宋" w:eastAsia="仿宋" w:hAnsi="仿宋"/>
                <w:kern w:val="2"/>
                <w:sz w:val="21"/>
                <w:szCs w:val="21"/>
              </w:rPr>
            </w:pPr>
            <w:r>
              <w:rPr>
                <w:rFonts w:ascii="仿宋" w:eastAsia="仿宋" w:hAnsi="仿宋" w:hint="eastAsia"/>
                <w:szCs w:val="21"/>
              </w:rPr>
              <w:t>《中华人民共和国价格法》第十八条：下列商品和服务价格，政府在必要时可以实行政府指导价或者政府定价：（一）与国民经济发展和人民生活关系重大的极少数商品价格；（二）资源稀缺的少数商品价格；（三）自然垄断经营的商品价格；（四）重要的公用事业价格；（五）重要的公益性服务价格。 第二十条第二款：省、自治区、直辖市人民政府价格主管部门和其他有关部门，应当按照地方定价目录规定的定价权限和具体适用范围制定在本地区执行的政府指导价、政府定价。《湖南省服务价格管理条例》第六条：下列服务价格可以实行政府指导价或者政府定价：（一）重要的公用事业价格和公益性服务价格；（二）不具备竞争条件的中介服务价格；（三）应当由省人民政府确立的其他服务价格。实行政府指导价、政府定价的具体服务价格项目，以中央和省规定的定价目录为依据。定价目录由省人民政府价格主管部门向社会公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68FA" w:rsidRDefault="00A568FA">
            <w:pPr>
              <w:widowControl w:val="0"/>
              <w:spacing w:line="360" w:lineRule="auto"/>
              <w:jc w:val="both"/>
              <w:rPr>
                <w:rFonts w:ascii="仿宋" w:eastAsia="仿宋" w:hAnsi="仿宋"/>
                <w:kern w:val="2"/>
                <w:sz w:val="21"/>
                <w:szCs w:val="24"/>
              </w:rPr>
            </w:pPr>
          </w:p>
        </w:tc>
      </w:tr>
    </w:tbl>
    <w:p w:rsidR="00A568FA" w:rsidRDefault="00A568FA" w:rsidP="00A568FA">
      <w:pPr>
        <w:spacing w:line="540" w:lineRule="exact"/>
        <w:rPr>
          <w:rFonts w:ascii="Times New Roman" w:eastAsia="仿宋_GB2312" w:hAnsi="Times New Roman" w:cs="Times New Roman"/>
          <w:kern w:val="2"/>
          <w:sz w:val="32"/>
          <w:szCs w:val="32"/>
        </w:rPr>
      </w:pPr>
    </w:p>
    <w:p w:rsidR="00A568FA" w:rsidRDefault="00A568FA" w:rsidP="00A568FA">
      <w:pPr>
        <w:spacing w:line="540" w:lineRule="exact"/>
        <w:rPr>
          <w:rFonts w:eastAsia="仿宋_GB2312"/>
          <w:sz w:val="32"/>
          <w:szCs w:val="32"/>
        </w:rPr>
      </w:pPr>
      <w:r>
        <w:rPr>
          <w:rFonts w:eastAsia="仿宋_GB2312" w:hint="eastAsia"/>
          <w:sz w:val="32"/>
          <w:szCs w:val="32"/>
        </w:rPr>
        <w:t>主要负责人签字：</w:t>
      </w:r>
      <w:r>
        <w:rPr>
          <w:rFonts w:eastAsia="仿宋_GB2312"/>
          <w:sz w:val="32"/>
          <w:szCs w:val="32"/>
        </w:rPr>
        <w:t xml:space="preserve">                       </w:t>
      </w:r>
      <w:r>
        <w:rPr>
          <w:rFonts w:eastAsia="仿宋_GB2312" w:hint="eastAsia"/>
          <w:sz w:val="32"/>
          <w:szCs w:val="32"/>
        </w:rPr>
        <w:t>填报人：</w:t>
      </w:r>
      <w:r>
        <w:rPr>
          <w:rFonts w:eastAsia="仿宋_GB2312"/>
          <w:sz w:val="32"/>
          <w:szCs w:val="32"/>
        </w:rPr>
        <w:t xml:space="preserve">                 </w:t>
      </w:r>
      <w:r>
        <w:rPr>
          <w:rFonts w:eastAsia="仿宋_GB2312" w:hint="eastAsia"/>
          <w:sz w:val="32"/>
          <w:szCs w:val="32"/>
        </w:rPr>
        <w:t>联系电话：</w:t>
      </w:r>
    </w:p>
    <w:p w:rsidR="00A568FA" w:rsidRDefault="00A568FA" w:rsidP="00A568FA">
      <w:pPr>
        <w:spacing w:line="540" w:lineRule="exact"/>
        <w:rPr>
          <w:rFonts w:ascii="仿宋_GB2312" w:eastAsia="仿宋_GB2312"/>
          <w:sz w:val="32"/>
          <w:szCs w:val="32"/>
        </w:rPr>
      </w:pPr>
      <w:r>
        <w:rPr>
          <w:rFonts w:eastAsia="仿宋_GB2312" w:hint="eastAsia"/>
          <w:sz w:val="32"/>
          <w:szCs w:val="32"/>
        </w:rPr>
        <w:t>责任单位：法制办，联系人：王水龙，联系电话：</w:t>
      </w:r>
      <w:r>
        <w:rPr>
          <w:rFonts w:eastAsia="仿宋_GB2312"/>
          <w:sz w:val="32"/>
          <w:szCs w:val="32"/>
        </w:rPr>
        <w:t xml:space="preserve">24223059   </w:t>
      </w:r>
      <w:r>
        <w:rPr>
          <w:rFonts w:eastAsia="仿宋_GB2312" w:hint="eastAsia"/>
          <w:sz w:val="32"/>
          <w:szCs w:val="32"/>
        </w:rPr>
        <w:t>邮箱：</w:t>
      </w:r>
      <w:hyperlink r:id="rId7" w:history="1">
        <w:r>
          <w:rPr>
            <w:rStyle w:val="a3"/>
            <w:rFonts w:eastAsia="仿宋_GB2312"/>
            <w:color w:val="auto"/>
            <w:sz w:val="32"/>
            <w:szCs w:val="32"/>
            <w:u w:val="none"/>
          </w:rPr>
          <w:t>402441525@qq.com</w:t>
        </w:r>
      </w:hyperlink>
    </w:p>
    <w:p w:rsidR="00A568FA" w:rsidRDefault="00A568FA" w:rsidP="00A568FA">
      <w:pPr>
        <w:rPr>
          <w:rFonts w:ascii="仿宋_GB2312" w:eastAsia="仿宋_GB2312"/>
          <w:sz w:val="32"/>
          <w:szCs w:val="32"/>
        </w:rPr>
        <w:sectPr w:rsidR="00A568FA">
          <w:pgSz w:w="16840" w:h="11907" w:orient="landscape"/>
          <w:pgMar w:top="1191" w:right="1134" w:bottom="1191" w:left="1134" w:header="851" w:footer="1418" w:gutter="0"/>
          <w:cols w:space="720"/>
          <w:docGrid w:type="linesAndChars" w:linePitch="312"/>
        </w:sectPr>
      </w:pPr>
    </w:p>
    <w:p w:rsidR="004358AB" w:rsidRPr="00A568FA" w:rsidRDefault="004358AB" w:rsidP="00D31D50">
      <w:pPr>
        <w:spacing w:line="220" w:lineRule="atLeast"/>
      </w:pPr>
    </w:p>
    <w:sectPr w:rsidR="004358AB" w:rsidRPr="00A568FA" w:rsidSect="00A568F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DD2" w:rsidRDefault="00775DD2" w:rsidP="00133363">
      <w:pPr>
        <w:spacing w:after="0"/>
      </w:pPr>
      <w:r>
        <w:separator/>
      </w:r>
    </w:p>
  </w:endnote>
  <w:endnote w:type="continuationSeparator" w:id="1">
    <w:p w:rsidR="00775DD2" w:rsidRDefault="00775DD2" w:rsidP="001333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altName w:val="liubingsen"/>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liubingsen">
    <w:altName w:val="Arial Unicode MS"/>
    <w:charset w:val="86"/>
    <w:family w:val="auto"/>
    <w:pitch w:val="variable"/>
    <w:sig w:usb0="00000000" w:usb1="E9DFFFFF" w:usb2="0000003F" w:usb3="00000000" w:csb0="003F00F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DD2" w:rsidRDefault="00775DD2" w:rsidP="00133363">
      <w:pPr>
        <w:spacing w:after="0"/>
      </w:pPr>
      <w:r>
        <w:separator/>
      </w:r>
    </w:p>
  </w:footnote>
  <w:footnote w:type="continuationSeparator" w:id="1">
    <w:p w:rsidR="00775DD2" w:rsidRDefault="00775DD2" w:rsidP="0013336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90511"/>
    <w:multiLevelType w:val="hybridMultilevel"/>
    <w:tmpl w:val="F9BA1136"/>
    <w:lvl w:ilvl="0" w:tplc="A40A816A">
      <w:start w:val="1"/>
      <w:numFmt w:val="decimal"/>
      <w:lvlText w:val="%1"/>
      <w:lvlJc w:val="center"/>
      <w:pPr>
        <w:tabs>
          <w:tab w:val="num" w:pos="420"/>
        </w:tabs>
        <w:ind w:left="420" w:hanging="13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133363"/>
    <w:rsid w:val="00323B43"/>
    <w:rsid w:val="003D37D8"/>
    <w:rsid w:val="00414BB2"/>
    <w:rsid w:val="00426133"/>
    <w:rsid w:val="004358AB"/>
    <w:rsid w:val="00487771"/>
    <w:rsid w:val="00775DD2"/>
    <w:rsid w:val="008B7726"/>
    <w:rsid w:val="00A568FA"/>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68FA"/>
    <w:rPr>
      <w:color w:val="0000FF"/>
      <w:u w:val="single"/>
    </w:rPr>
  </w:style>
  <w:style w:type="paragraph" w:styleId="a4">
    <w:name w:val="header"/>
    <w:basedOn w:val="a"/>
    <w:link w:val="Char"/>
    <w:uiPriority w:val="99"/>
    <w:semiHidden/>
    <w:unhideWhenUsed/>
    <w:rsid w:val="0013336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33363"/>
    <w:rPr>
      <w:rFonts w:ascii="Tahoma" w:hAnsi="Tahoma"/>
      <w:sz w:val="18"/>
      <w:szCs w:val="18"/>
    </w:rPr>
  </w:style>
  <w:style w:type="paragraph" w:styleId="a5">
    <w:name w:val="footer"/>
    <w:basedOn w:val="a"/>
    <w:link w:val="Char0"/>
    <w:uiPriority w:val="99"/>
    <w:semiHidden/>
    <w:unhideWhenUsed/>
    <w:rsid w:val="00133363"/>
    <w:pPr>
      <w:tabs>
        <w:tab w:val="center" w:pos="4153"/>
        <w:tab w:val="right" w:pos="8306"/>
      </w:tabs>
    </w:pPr>
    <w:rPr>
      <w:sz w:val="18"/>
      <w:szCs w:val="18"/>
    </w:rPr>
  </w:style>
  <w:style w:type="character" w:customStyle="1" w:styleId="Char0">
    <w:name w:val="页脚 Char"/>
    <w:basedOn w:val="a0"/>
    <w:link w:val="a5"/>
    <w:uiPriority w:val="99"/>
    <w:semiHidden/>
    <w:rsid w:val="0013336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063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02441525@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2906</Words>
  <Characters>16568</Characters>
  <Application>Microsoft Office Word</Application>
  <DocSecurity>0</DocSecurity>
  <Lines>138</Lines>
  <Paragraphs>38</Paragraphs>
  <ScaleCrop>false</ScaleCrop>
  <Company/>
  <LinksUpToDate>false</LinksUpToDate>
  <CharactersWithSpaces>19436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用户</cp:lastModifiedBy>
  <cp:revision>3</cp:revision>
  <dcterms:created xsi:type="dcterms:W3CDTF">2008-09-11T17:20:00Z</dcterms:created>
  <dcterms:modified xsi:type="dcterms:W3CDTF">2017-12-15T08:23:00Z</dcterms:modified>
</cp:coreProperties>
</file>