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F5" w:rsidRDefault="00AB7EF5" w:rsidP="00AB7EF5">
      <w:pPr>
        <w:widowControl/>
        <w:shd w:val="clear" w:color="auto" w:fill="FFFFFF"/>
        <w:spacing w:line="600" w:lineRule="exact"/>
        <w:jc w:val="center"/>
        <w:outlineLvl w:val="0"/>
        <w:rPr>
          <w:rFonts w:ascii="黑体" w:eastAsia="黑体" w:hAnsi="黑体" w:cs="Arial" w:hint="eastAsia"/>
          <w:b/>
          <w:bCs/>
          <w:color w:val="191919"/>
          <w:kern w:val="36"/>
          <w:sz w:val="42"/>
          <w:szCs w:val="42"/>
        </w:rPr>
      </w:pPr>
    </w:p>
    <w:p w:rsidR="00D40246" w:rsidRPr="00C713DE" w:rsidRDefault="001E0729" w:rsidP="00AB7EF5">
      <w:pPr>
        <w:widowControl/>
        <w:shd w:val="clear" w:color="auto" w:fill="FFFFFF"/>
        <w:spacing w:line="600" w:lineRule="exact"/>
        <w:jc w:val="center"/>
        <w:outlineLvl w:val="0"/>
        <w:rPr>
          <w:rFonts w:ascii="黑体" w:eastAsia="黑体" w:hAnsi="黑体" w:cs="Arial"/>
          <w:b/>
          <w:bCs/>
          <w:color w:val="191919"/>
          <w:kern w:val="36"/>
          <w:sz w:val="42"/>
          <w:szCs w:val="42"/>
        </w:rPr>
      </w:pPr>
      <w:r w:rsidRPr="00C713DE">
        <w:rPr>
          <w:rFonts w:ascii="黑体" w:eastAsia="黑体" w:hAnsi="黑体" w:cs="Arial"/>
          <w:b/>
          <w:bCs/>
          <w:color w:val="191919"/>
          <w:kern w:val="36"/>
          <w:sz w:val="42"/>
          <w:szCs w:val="42"/>
        </w:rPr>
        <w:t>201</w:t>
      </w:r>
      <w:r w:rsidRPr="00C713DE">
        <w:rPr>
          <w:rFonts w:ascii="黑体" w:eastAsia="黑体" w:hAnsi="黑体" w:cs="Arial" w:hint="eastAsia"/>
          <w:b/>
          <w:bCs/>
          <w:color w:val="191919"/>
          <w:kern w:val="36"/>
          <w:sz w:val="42"/>
          <w:szCs w:val="42"/>
        </w:rPr>
        <w:t>7</w:t>
      </w:r>
      <w:r w:rsidRPr="00C713DE">
        <w:rPr>
          <w:rFonts w:ascii="黑体" w:eastAsia="黑体" w:hAnsi="黑体" w:cs="Arial"/>
          <w:b/>
          <w:bCs/>
          <w:color w:val="191919"/>
          <w:kern w:val="36"/>
          <w:sz w:val="42"/>
          <w:szCs w:val="42"/>
        </w:rPr>
        <w:t>年</w:t>
      </w:r>
      <w:r w:rsidR="00C05333">
        <w:rPr>
          <w:rFonts w:ascii="黑体" w:eastAsia="黑体" w:hAnsi="黑体" w:cs="Arial" w:hint="eastAsia"/>
          <w:b/>
          <w:bCs/>
          <w:color w:val="191919"/>
          <w:kern w:val="36"/>
          <w:sz w:val="42"/>
          <w:szCs w:val="42"/>
        </w:rPr>
        <w:t>三</w:t>
      </w:r>
      <w:r w:rsidRPr="00C713DE">
        <w:rPr>
          <w:rFonts w:ascii="黑体" w:eastAsia="黑体" w:hAnsi="黑体" w:cs="Arial"/>
          <w:b/>
          <w:bCs/>
          <w:color w:val="191919"/>
          <w:kern w:val="36"/>
          <w:sz w:val="42"/>
          <w:szCs w:val="42"/>
        </w:rPr>
        <w:t>季度</w:t>
      </w:r>
      <w:r w:rsidRPr="00C713DE">
        <w:rPr>
          <w:rFonts w:ascii="黑体" w:eastAsia="黑体" w:hAnsi="黑体" w:cs="Arial" w:hint="eastAsia"/>
          <w:b/>
          <w:bCs/>
          <w:color w:val="191919"/>
          <w:kern w:val="36"/>
          <w:sz w:val="42"/>
          <w:szCs w:val="42"/>
        </w:rPr>
        <w:t>株洲</w:t>
      </w:r>
      <w:r w:rsidR="00E85DAF">
        <w:rPr>
          <w:rFonts w:ascii="黑体" w:eastAsia="黑体" w:hAnsi="黑体" w:cs="Arial"/>
          <w:b/>
          <w:bCs/>
          <w:color w:val="191919"/>
          <w:kern w:val="36"/>
          <w:sz w:val="42"/>
          <w:szCs w:val="42"/>
        </w:rPr>
        <w:t>土地市场成交情况</w:t>
      </w:r>
      <w:r w:rsidR="00E85DAF">
        <w:rPr>
          <w:rFonts w:ascii="黑体" w:eastAsia="黑体" w:hAnsi="黑体" w:cs="Arial" w:hint="eastAsia"/>
          <w:b/>
          <w:bCs/>
          <w:color w:val="191919"/>
          <w:kern w:val="36"/>
          <w:sz w:val="42"/>
          <w:szCs w:val="42"/>
        </w:rPr>
        <w:t>报告</w:t>
      </w:r>
    </w:p>
    <w:p w:rsidR="00D40246" w:rsidRPr="00C713DE" w:rsidRDefault="00D40246" w:rsidP="00C713DE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Arial" w:cs="Arial"/>
          <w:color w:val="999999"/>
          <w:kern w:val="0"/>
          <w:szCs w:val="21"/>
        </w:rPr>
      </w:pPr>
    </w:p>
    <w:p w:rsidR="00D360C5" w:rsidRPr="005C1EA3" w:rsidRDefault="001E0729" w:rsidP="00C713D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宋体"/>
          <w:color w:val="FF0000"/>
          <w:kern w:val="0"/>
          <w:sz w:val="32"/>
          <w:szCs w:val="32"/>
        </w:rPr>
      </w:pPr>
      <w:r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据</w:t>
      </w:r>
      <w:r w:rsidR="00B660A7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株洲市公共资源</w:t>
      </w:r>
      <w:r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交易中心数据显示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2017年</w:t>
      </w:r>
      <w:r w:rsidR="00B07CDC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第三</w:t>
      </w:r>
      <w:r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季度</w:t>
      </w:r>
      <w:r w:rsidR="00B07CDC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（7月1日-9月30日）</w:t>
      </w:r>
      <w:r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株洲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土地市场共挂牌</w:t>
      </w:r>
      <w:r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出让</w:t>
      </w:r>
      <w:r w:rsidR="008F7FBE">
        <w:rPr>
          <w:rFonts w:ascii="仿宋_GB2312" w:eastAsia="仿宋_GB2312" w:hAnsi="仿宋" w:cs="宋体" w:hint="eastAsia"/>
          <w:kern w:val="0"/>
          <w:sz w:val="32"/>
          <w:szCs w:val="32"/>
        </w:rPr>
        <w:t>40</w:t>
      </w:r>
      <w:r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宗地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692B1B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三季度</w:t>
      </w:r>
      <w:r w:rsidR="005D792D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截止</w:t>
      </w:r>
      <w:r w:rsidR="00B07CDC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9</w:t>
      </w:r>
      <w:r w:rsidR="005D792D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月底，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共成交</w:t>
      </w:r>
      <w:r w:rsidR="008D00AC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22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宗地</w:t>
      </w:r>
      <w:r w:rsidR="009572EE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，流拍4宗地</w:t>
      </w:r>
      <w:r w:rsidR="005D792D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（</w:t>
      </w:r>
      <w:r w:rsidR="008D00AC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详见附表</w:t>
      </w:r>
      <w:r w:rsidR="005C1EA3">
        <w:rPr>
          <w:rFonts w:ascii="仿宋_GB2312" w:eastAsia="仿宋_GB2312" w:hAnsi="仿宋" w:cs="宋体" w:hint="eastAsia"/>
          <w:kern w:val="0"/>
          <w:sz w:val="32"/>
          <w:szCs w:val="32"/>
        </w:rPr>
        <w:t>一</w:t>
      </w:r>
      <w:r w:rsidR="005D792D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）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58485F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其中，</w:t>
      </w:r>
      <w:r w:rsidR="009572EE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7</w:t>
      </w:r>
      <w:r w:rsidR="0058485F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宗工业用地，</w:t>
      </w:r>
      <w:r w:rsidR="009572EE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1宗商服用地，14宗城镇住宅兼商服用地</w:t>
      </w:r>
      <w:r w:rsidR="0058485F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成交金额约</w:t>
      </w:r>
      <w:r w:rsidR="009572EE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37.65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亿元，成交面积约</w:t>
      </w:r>
      <w:r w:rsidR="00C66150">
        <w:rPr>
          <w:rFonts w:ascii="仿宋_GB2312" w:eastAsia="仿宋_GB2312" w:hAnsi="仿宋" w:cs="宋体" w:hint="eastAsia"/>
          <w:kern w:val="0"/>
          <w:sz w:val="32"/>
          <w:szCs w:val="32"/>
        </w:rPr>
        <w:t>141.99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万平方米。</w:t>
      </w:r>
      <w:r w:rsidR="005D5A2E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同</w:t>
      </w:r>
      <w:r w:rsidR="009572EE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比上季度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成交地块</w:t>
      </w:r>
      <w:r w:rsidR="0058485F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宗数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（</w:t>
      </w:r>
      <w:r w:rsidR="005D5A2E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15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宗</w:t>
      </w:r>
      <w:r w:rsidR="00D360C5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，其中</w:t>
      </w:r>
      <w:r w:rsidR="00375A48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80%</w:t>
      </w:r>
      <w:r w:rsidR="00D360C5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为工业用地</w:t>
      </w:r>
      <w:r w:rsidR="005D5A2E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）上涨47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%，成交金额（</w:t>
      </w:r>
      <w:r w:rsidR="005D5A2E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19.89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亿元）上涨</w:t>
      </w:r>
      <w:r w:rsidR="005D5A2E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89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%，成交面积（</w:t>
      </w:r>
      <w:r w:rsidR="005D5A2E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142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万平方米）</w:t>
      </w:r>
      <w:r w:rsidR="005D5A2E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上涨112</w:t>
      </w:r>
      <w:r w:rsidR="00D40246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%</w:t>
      </w:r>
      <w:r w:rsidR="00A027F3" w:rsidRPr="005C1EA3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2D5F3B" w:rsidRPr="005C1EA3" w:rsidRDefault="004735C7" w:rsidP="005C1EA3">
      <w:pPr>
        <w:pStyle w:val="a5"/>
        <w:spacing w:before="0" w:beforeAutospacing="0" w:after="240" w:afterAutospacing="0" w:line="420" w:lineRule="atLeas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5C1EA3">
        <w:rPr>
          <w:rFonts w:ascii="仿宋_GB2312" w:eastAsia="仿宋_GB2312" w:hAnsi="仿宋" w:hint="eastAsia"/>
          <w:sz w:val="32"/>
          <w:szCs w:val="32"/>
        </w:rPr>
        <w:t>2017年第三季度，土地交易市场总体平稳</w:t>
      </w:r>
      <w:r w:rsidR="00B81DE4" w:rsidRPr="005C1EA3">
        <w:rPr>
          <w:rFonts w:ascii="仿宋_GB2312" w:eastAsia="仿宋_GB2312" w:hAnsi="仿宋" w:hint="eastAsia"/>
          <w:sz w:val="32"/>
          <w:szCs w:val="32"/>
        </w:rPr>
        <w:t>，呈现稳步上升的发展趋势，</w:t>
      </w:r>
      <w:r w:rsidR="00877F29" w:rsidRPr="005C1EA3">
        <w:rPr>
          <w:rFonts w:ascii="仿宋_GB2312" w:eastAsia="仿宋_GB2312" w:hAnsi="仿宋" w:hint="eastAsia"/>
          <w:sz w:val="32"/>
          <w:szCs w:val="32"/>
        </w:rPr>
        <w:t>城市五区范围内</w:t>
      </w:r>
      <w:r w:rsidR="00B81DE4" w:rsidRPr="005C1EA3">
        <w:rPr>
          <w:rFonts w:ascii="仿宋_GB2312" w:eastAsia="仿宋_GB2312" w:hAnsi="仿宋" w:hint="eastAsia"/>
          <w:sz w:val="32"/>
          <w:szCs w:val="32"/>
        </w:rPr>
        <w:t>成交的城镇住宅兼容商服用地的</w:t>
      </w:r>
      <w:r w:rsidR="00877F29" w:rsidRPr="005C1EA3">
        <w:rPr>
          <w:rFonts w:ascii="仿宋_GB2312" w:eastAsia="仿宋_GB2312" w:hAnsi="仿宋" w:hint="eastAsia"/>
          <w:sz w:val="32"/>
          <w:szCs w:val="32"/>
        </w:rPr>
        <w:t>楼面地价</w:t>
      </w:r>
      <w:r w:rsidR="00B81DE4" w:rsidRPr="005C1EA3">
        <w:rPr>
          <w:rFonts w:ascii="仿宋_GB2312" w:eastAsia="仿宋_GB2312" w:hAnsi="仿宋" w:hint="eastAsia"/>
          <w:sz w:val="32"/>
          <w:szCs w:val="32"/>
        </w:rPr>
        <w:t>均价涨幅明显</w:t>
      </w:r>
      <w:r w:rsidR="00554BE0" w:rsidRPr="005C1EA3">
        <w:rPr>
          <w:rFonts w:ascii="仿宋_GB2312" w:eastAsia="仿宋_GB2312" w:hAnsi="仿宋" w:hint="eastAsia"/>
          <w:sz w:val="32"/>
          <w:szCs w:val="32"/>
        </w:rPr>
        <w:t>，</w:t>
      </w:r>
      <w:r w:rsidR="00B81DE4" w:rsidRPr="005C1EA3">
        <w:rPr>
          <w:rFonts w:ascii="仿宋_GB2312" w:eastAsia="仿宋_GB2312" w:hAnsi="仿宋" w:hint="eastAsia"/>
          <w:sz w:val="32"/>
          <w:szCs w:val="32"/>
        </w:rPr>
        <w:t>由上季度的1288元/㎡到1537元/㎡，均价涨了249元/</w:t>
      </w:r>
      <w:r w:rsidR="00554BE0" w:rsidRPr="005C1EA3">
        <w:rPr>
          <w:rFonts w:ascii="仿宋_GB2312" w:eastAsia="仿宋_GB2312" w:hAnsi="仿宋" w:hint="eastAsia"/>
          <w:sz w:val="32"/>
          <w:szCs w:val="32"/>
        </w:rPr>
        <w:t>㎡。</w:t>
      </w:r>
      <w:r w:rsidR="00877F29" w:rsidRPr="005C1EA3">
        <w:rPr>
          <w:rFonts w:ascii="仿宋_GB2312" w:eastAsia="仿宋_GB2312" w:hAnsi="仿宋" w:hint="eastAsia"/>
          <w:sz w:val="32"/>
          <w:szCs w:val="32"/>
        </w:rPr>
        <w:t>城市五区范围内成交的工业用地楼面地价均价较上季度小有涨幅，均价基本稳定在230元/㎡。</w:t>
      </w:r>
      <w:r w:rsidR="00554BE0" w:rsidRPr="005C1EA3">
        <w:rPr>
          <w:rFonts w:ascii="仿宋_GB2312" w:eastAsia="仿宋_GB2312" w:hAnsi="仿宋" w:hint="eastAsia"/>
          <w:sz w:val="32"/>
          <w:szCs w:val="32"/>
        </w:rPr>
        <w:t>值得特别关注的是</w:t>
      </w:r>
      <w:r w:rsidR="002D5F3B" w:rsidRPr="005C1EA3">
        <w:rPr>
          <w:rFonts w:ascii="仿宋_GB2312" w:eastAsia="仿宋_GB2312" w:hAnsi="仿宋" w:hint="eastAsia"/>
          <w:sz w:val="32"/>
          <w:szCs w:val="32"/>
        </w:rPr>
        <w:t>7月份的土地市场尤为火热，参与土地竞买单位数量相比去年增多，土地出让(拍卖)竞价激烈，土地溢价率、竞价时间、竞价次数均创下近年来的新高，尤其具有代表性的是以下三宗地的成交：</w:t>
      </w:r>
    </w:p>
    <w:p w:rsidR="002D5F3B" w:rsidRPr="005C1EA3" w:rsidRDefault="002D5F3B" w:rsidP="005C1EA3">
      <w:pPr>
        <w:pStyle w:val="a5"/>
        <w:spacing w:before="0" w:beforeAutospacing="0" w:after="240" w:afterAutospacing="0" w:line="420" w:lineRule="atLeast"/>
        <w:contextualSpacing/>
        <w:rPr>
          <w:rFonts w:ascii="仿宋_GB2312" w:eastAsia="仿宋_GB2312" w:hAnsi="仿宋"/>
          <w:sz w:val="32"/>
          <w:szCs w:val="32"/>
        </w:rPr>
      </w:pPr>
      <w:r w:rsidRPr="005C1EA3">
        <w:rPr>
          <w:rFonts w:ascii="仿宋_GB2312" w:eastAsia="仿宋_GB2312" w:hAnsi="仿宋" w:hint="eastAsia"/>
          <w:sz w:val="32"/>
          <w:szCs w:val="32"/>
        </w:rPr>
        <w:t xml:space="preserve">　　2017年7月14日成交的【2017】网挂第011号宗地成为株洲“地王”，该宗地为天元区武广十号地块，面积138</w:t>
      </w:r>
      <w:r w:rsidRPr="005C1EA3">
        <w:rPr>
          <w:rFonts w:ascii="仿宋_GB2312" w:eastAsia="仿宋_GB2312" w:hAnsi="仿宋" w:hint="eastAsia"/>
          <w:sz w:val="32"/>
          <w:szCs w:val="32"/>
        </w:rPr>
        <w:lastRenderedPageBreak/>
        <w:t>亩，商住用地，容积率2.8，起始价38724万元，经过364轮竞价，最终以68874万元成交，竞得人株洲翡翠金轮置业有限公司，溢价率77.8%，合49</w:t>
      </w:r>
      <w:r w:rsidR="008F7FBE">
        <w:rPr>
          <w:rFonts w:ascii="仿宋_GB2312" w:eastAsia="仿宋_GB2312" w:hAnsi="仿宋" w:hint="eastAsia"/>
          <w:sz w:val="32"/>
          <w:szCs w:val="32"/>
        </w:rPr>
        <w:t>9</w:t>
      </w:r>
      <w:r w:rsidRPr="005C1EA3">
        <w:rPr>
          <w:rFonts w:ascii="仿宋_GB2312" w:eastAsia="仿宋_GB2312" w:hAnsi="仿宋" w:hint="eastAsia"/>
          <w:sz w:val="32"/>
          <w:szCs w:val="32"/>
        </w:rPr>
        <w:t>万元/亩。</w:t>
      </w:r>
    </w:p>
    <w:p w:rsidR="002D5F3B" w:rsidRPr="005C1EA3" w:rsidRDefault="002D5F3B" w:rsidP="005C1EA3">
      <w:pPr>
        <w:pStyle w:val="a5"/>
        <w:spacing w:before="0" w:beforeAutospacing="0" w:after="240" w:afterAutospacing="0" w:line="420" w:lineRule="atLeast"/>
        <w:contextualSpacing/>
        <w:rPr>
          <w:rFonts w:ascii="仿宋_GB2312" w:eastAsia="仿宋_GB2312" w:hAnsi="仿宋"/>
          <w:sz w:val="32"/>
          <w:szCs w:val="32"/>
        </w:rPr>
      </w:pPr>
      <w:r w:rsidRPr="005C1EA3">
        <w:rPr>
          <w:rFonts w:ascii="仿宋_GB2312" w:eastAsia="仿宋_GB2312" w:hAnsi="仿宋" w:hint="eastAsia"/>
          <w:sz w:val="32"/>
          <w:szCs w:val="32"/>
        </w:rPr>
        <w:t xml:space="preserve">　　2017年7月21日成交的【2017】网挂第017号宗地，荷塘区金科储备地块九，面积136亩，商住用地，容积率2.8，起始价33832万元，经过182轮竞价，最终以43932万元成交，竞得人株洲市鼎辉房地产发展有限公司(美的全资子公司)，溢价率29.85%，合322万元/亩。</w:t>
      </w:r>
    </w:p>
    <w:p w:rsidR="002D5F3B" w:rsidRPr="005C1EA3" w:rsidRDefault="002D5F3B" w:rsidP="005C1EA3">
      <w:pPr>
        <w:pStyle w:val="a5"/>
        <w:spacing w:before="0" w:beforeAutospacing="0" w:after="240" w:afterAutospacing="0" w:line="420" w:lineRule="atLeast"/>
        <w:contextualSpacing/>
        <w:rPr>
          <w:rFonts w:ascii="仿宋_GB2312" w:eastAsia="仿宋_GB2312" w:hAnsi="仿宋"/>
          <w:sz w:val="32"/>
          <w:szCs w:val="32"/>
        </w:rPr>
      </w:pPr>
      <w:r w:rsidRPr="005C1EA3">
        <w:rPr>
          <w:rFonts w:ascii="仿宋_GB2312" w:eastAsia="仿宋_GB2312" w:hAnsi="仿宋" w:hint="eastAsia"/>
          <w:sz w:val="32"/>
          <w:szCs w:val="32"/>
        </w:rPr>
        <w:t xml:space="preserve">　　2017年7月24日成交的【2017】网挂第019号宗地，创下近年来竞价时间最长纪录和竞价次数最多纪录，延时竞价时间9小时，总共508轮报价。该宗地位于天元区48区，面积76.85亩，商住用地，容积率2.7，起始价14602万元，最终以30102万元成交，竞得人湖南省碧桂园地产有限公司，溢价率106.15%，合39</w:t>
      </w:r>
      <w:r w:rsidR="008939B9">
        <w:rPr>
          <w:rFonts w:ascii="仿宋_GB2312" w:eastAsia="仿宋_GB2312" w:hAnsi="仿宋" w:hint="eastAsia"/>
          <w:sz w:val="32"/>
          <w:szCs w:val="32"/>
        </w:rPr>
        <w:t>2</w:t>
      </w:r>
      <w:r w:rsidRPr="005C1EA3">
        <w:rPr>
          <w:rFonts w:ascii="仿宋_GB2312" w:eastAsia="仿宋_GB2312" w:hAnsi="仿宋" w:hint="eastAsia"/>
          <w:sz w:val="32"/>
          <w:szCs w:val="32"/>
        </w:rPr>
        <w:t>元/亩。</w:t>
      </w:r>
    </w:p>
    <w:p w:rsidR="00554BE0" w:rsidRPr="005C1EA3" w:rsidRDefault="005C1EA3" w:rsidP="005C1EA3">
      <w:pPr>
        <w:pStyle w:val="a5"/>
        <w:spacing w:before="0" w:beforeAutospacing="0" w:after="240" w:afterAutospacing="0" w:line="420" w:lineRule="atLeast"/>
        <w:contextualSpacing/>
        <w:rPr>
          <w:rFonts w:ascii="仿宋_GB2312" w:eastAsia="仿宋_GB2312" w:hAnsi="仿宋"/>
          <w:sz w:val="32"/>
          <w:szCs w:val="32"/>
        </w:rPr>
      </w:pPr>
      <w:r w:rsidRPr="005C1EA3">
        <w:rPr>
          <w:rFonts w:ascii="仿宋_GB2312" w:eastAsia="仿宋_GB2312" w:hAnsi="仿宋" w:hint="eastAsia"/>
          <w:sz w:val="32"/>
          <w:szCs w:val="32"/>
        </w:rPr>
        <w:t xml:space="preserve">　　纵观三季度</w:t>
      </w:r>
      <w:r w:rsidR="002D5F3B" w:rsidRPr="005C1EA3">
        <w:rPr>
          <w:rFonts w:ascii="仿宋_GB2312" w:eastAsia="仿宋_GB2312" w:hAnsi="仿宋" w:hint="eastAsia"/>
          <w:sz w:val="32"/>
          <w:szCs w:val="32"/>
        </w:rPr>
        <w:t>的土地成交状况</w:t>
      </w:r>
      <w:r w:rsidRPr="005C1EA3">
        <w:rPr>
          <w:rFonts w:ascii="仿宋_GB2312" w:eastAsia="仿宋_GB2312" w:hAnsi="仿宋" w:hint="eastAsia"/>
          <w:sz w:val="32"/>
          <w:szCs w:val="32"/>
        </w:rPr>
        <w:t>以及今年到目前为止的土地成交情况来看</w:t>
      </w:r>
      <w:r w:rsidR="002D5F3B" w:rsidRPr="005C1EA3">
        <w:rPr>
          <w:rFonts w:ascii="仿宋_GB2312" w:eastAsia="仿宋_GB2312" w:hAnsi="仿宋" w:hint="eastAsia"/>
          <w:sz w:val="32"/>
          <w:szCs w:val="32"/>
        </w:rPr>
        <w:t>，株洲土地市场交易日趋活跃，供需两旺，土地市场极有可能还会</w:t>
      </w:r>
      <w:r w:rsidRPr="005C1EA3">
        <w:rPr>
          <w:rFonts w:ascii="仿宋_GB2312" w:eastAsia="仿宋_GB2312" w:hAnsi="仿宋" w:hint="eastAsia"/>
          <w:sz w:val="32"/>
          <w:szCs w:val="32"/>
        </w:rPr>
        <w:t>继续</w:t>
      </w:r>
      <w:r w:rsidR="002D5F3B" w:rsidRPr="005C1EA3">
        <w:rPr>
          <w:rFonts w:ascii="仿宋_GB2312" w:eastAsia="仿宋_GB2312" w:hAnsi="仿宋" w:hint="eastAsia"/>
          <w:sz w:val="32"/>
          <w:szCs w:val="32"/>
        </w:rPr>
        <w:t>升温。</w:t>
      </w:r>
    </w:p>
    <w:p w:rsidR="00554BE0" w:rsidRDefault="00554BE0" w:rsidP="002A5480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5C1EA3" w:rsidRDefault="005C1EA3" w:rsidP="002A5480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5C1EA3" w:rsidRDefault="005C1EA3" w:rsidP="002A5480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AB7EF5" w:rsidRDefault="00AB7EF5" w:rsidP="002A5480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AB7EF5" w:rsidRPr="005C1EA3" w:rsidRDefault="00AB7EF5" w:rsidP="002C78E4">
      <w:pPr>
        <w:widowControl/>
        <w:spacing w:line="600" w:lineRule="exact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787A9C" w:rsidRDefault="008A365B" w:rsidP="00173C88">
      <w:pPr>
        <w:widowControl/>
        <w:spacing w:line="600" w:lineRule="exact"/>
        <w:jc w:val="center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2017年</w:t>
      </w:r>
      <w:r w:rsidR="005C1EA3">
        <w:rPr>
          <w:rFonts w:ascii="仿宋_GB2312" w:eastAsia="仿宋_GB2312" w:hAnsi="仿宋" w:cs="宋体" w:hint="eastAsia"/>
          <w:kern w:val="0"/>
          <w:sz w:val="32"/>
          <w:szCs w:val="32"/>
        </w:rPr>
        <w:t>7-9月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土地交易成交一览表</w:t>
      </w:r>
    </w:p>
    <w:p w:rsidR="00173C88" w:rsidRPr="00173C88" w:rsidRDefault="00173C88" w:rsidP="00173C88">
      <w:pPr>
        <w:widowControl/>
        <w:spacing w:line="600" w:lineRule="exact"/>
        <w:jc w:val="center"/>
        <w:rPr>
          <w:rFonts w:ascii="仿宋_GB2312" w:eastAsia="仿宋_GB2312" w:hAnsi="仿宋" w:cs="宋体"/>
          <w:kern w:val="0"/>
          <w:sz w:val="32"/>
          <w:szCs w:val="32"/>
        </w:rPr>
      </w:pPr>
    </w:p>
    <w:tbl>
      <w:tblPr>
        <w:tblStyle w:val="a8"/>
        <w:tblW w:w="11168" w:type="dxa"/>
        <w:jc w:val="center"/>
        <w:tblLayout w:type="fixed"/>
        <w:tblLook w:val="04A0"/>
      </w:tblPr>
      <w:tblGrid>
        <w:gridCol w:w="425"/>
        <w:gridCol w:w="1235"/>
        <w:gridCol w:w="2227"/>
        <w:gridCol w:w="1134"/>
        <w:gridCol w:w="1275"/>
        <w:gridCol w:w="709"/>
        <w:gridCol w:w="761"/>
        <w:gridCol w:w="1036"/>
        <w:gridCol w:w="1134"/>
        <w:gridCol w:w="1232"/>
      </w:tblGrid>
      <w:tr w:rsidR="00124DF9" w:rsidRPr="008F7FBE" w:rsidTr="00124DF9">
        <w:trPr>
          <w:cantSplit/>
          <w:trHeight w:val="397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124DF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124DF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网挂编号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124DF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地块土地位置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124DF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面积(㎡)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124DF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用途</w:t>
            </w:r>
          </w:p>
        </w:tc>
        <w:tc>
          <w:tcPr>
            <w:tcW w:w="709" w:type="dxa"/>
            <w:vAlign w:val="center"/>
          </w:tcPr>
          <w:p w:rsidR="00124DF9" w:rsidRPr="008F7FBE" w:rsidRDefault="00173C88" w:rsidP="00124DF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容积率</w:t>
            </w:r>
          </w:p>
        </w:tc>
        <w:tc>
          <w:tcPr>
            <w:tcW w:w="761" w:type="dxa"/>
          </w:tcPr>
          <w:p w:rsidR="00124DF9" w:rsidRPr="008F7FBE" w:rsidRDefault="00173C88" w:rsidP="00124DF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楼面地价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124DF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成交价（万元）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124DF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成交时间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124DF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折合单价（万元/亩）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[2017]网挂第011号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武广10#地块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92174.57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二类居住兼容商业用地</w:t>
            </w:r>
          </w:p>
        </w:tc>
        <w:tc>
          <w:tcPr>
            <w:tcW w:w="709" w:type="dxa"/>
            <w:vAlign w:val="center"/>
          </w:tcPr>
          <w:p w:rsidR="00124DF9" w:rsidRPr="008F7FBE" w:rsidRDefault="00173C88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</w:t>
            </w:r>
          </w:p>
        </w:tc>
        <w:tc>
          <w:tcPr>
            <w:tcW w:w="761" w:type="dxa"/>
            <w:vAlign w:val="center"/>
          </w:tcPr>
          <w:p w:rsidR="00124DF9" w:rsidRPr="008F7FBE" w:rsidRDefault="00173C88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2669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68874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2017.7.14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499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[2017]网挂第012号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天元区株洲大道北侧新马EBD地块一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166209.39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城镇住宅兼容商服用地</w:t>
            </w:r>
          </w:p>
        </w:tc>
        <w:tc>
          <w:tcPr>
            <w:tcW w:w="709" w:type="dxa"/>
            <w:vAlign w:val="center"/>
          </w:tcPr>
          <w:p w:rsidR="00124DF9" w:rsidRPr="008F7FBE" w:rsidRDefault="00173C88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2.1</w:t>
            </w:r>
          </w:p>
        </w:tc>
        <w:tc>
          <w:tcPr>
            <w:tcW w:w="761" w:type="dxa"/>
            <w:vAlign w:val="center"/>
          </w:tcPr>
          <w:p w:rsidR="00124DF9" w:rsidRPr="008F7FBE" w:rsidRDefault="00173C88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1286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44877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2017.7.19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[2017]网挂第013号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天元区株洲大道北侧新马EBD地块二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119322.89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城镇住宅兼容商服用地</w:t>
            </w:r>
          </w:p>
        </w:tc>
        <w:tc>
          <w:tcPr>
            <w:tcW w:w="709" w:type="dxa"/>
            <w:vAlign w:val="center"/>
          </w:tcPr>
          <w:p w:rsidR="00124DF9" w:rsidRPr="008F7FBE" w:rsidRDefault="00173C88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1.9</w:t>
            </w:r>
          </w:p>
        </w:tc>
        <w:tc>
          <w:tcPr>
            <w:tcW w:w="761" w:type="dxa"/>
            <w:vAlign w:val="center"/>
          </w:tcPr>
          <w:p w:rsidR="00124DF9" w:rsidRPr="008F7FBE" w:rsidRDefault="00173C88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1421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32218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2017.7.19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[2017]网挂第014号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天元区株洲大道北侧新马EBD地块三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52915.93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城镇住宅兼容商服用地</w:t>
            </w:r>
          </w:p>
        </w:tc>
        <w:tc>
          <w:tcPr>
            <w:tcW w:w="709" w:type="dxa"/>
            <w:vAlign w:val="center"/>
          </w:tcPr>
          <w:p w:rsidR="00124DF9" w:rsidRPr="008F7FBE" w:rsidRDefault="00173C88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1" w:type="dxa"/>
            <w:vAlign w:val="center"/>
          </w:tcPr>
          <w:p w:rsidR="00124DF9" w:rsidRPr="008F7FBE" w:rsidRDefault="00173C88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1350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14288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2017.7.19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[2017]网挂第015号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天元区株洲大道北侧新马EBD地块四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103612.36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城镇住宅兼容商服用地</w:t>
            </w:r>
          </w:p>
        </w:tc>
        <w:tc>
          <w:tcPr>
            <w:tcW w:w="709" w:type="dxa"/>
            <w:vAlign w:val="center"/>
          </w:tcPr>
          <w:p w:rsidR="00124DF9" w:rsidRPr="008F7FBE" w:rsidRDefault="00173C88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1.9</w:t>
            </w:r>
          </w:p>
        </w:tc>
        <w:tc>
          <w:tcPr>
            <w:tcW w:w="761" w:type="dxa"/>
            <w:vAlign w:val="center"/>
          </w:tcPr>
          <w:p w:rsidR="00124DF9" w:rsidRPr="008F7FBE" w:rsidRDefault="00173C88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1421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27976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2017.7.19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[2017]网挂第016号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荷塘区金塘大道以东、荷北路以南、金乐路以西、金兴路以北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68838.97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商服用地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15489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2017.7.20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[2017]挂字第017号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荷塘区桂花办事处</w:t>
            </w: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新塘路与迎风路交汇处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90944.67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城镇住宅兼容商服用地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1725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43932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2017.7.21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322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[2017]网挂第018号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天元区庐山路北侧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17860.29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商业兼容住宅用地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1680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15003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2017.7.24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560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[2017]网挂第019号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天元区48区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51234.66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城镇住宅兼容商服用地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2176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30102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2017.</w:t>
            </w: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7.24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392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网挂编号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地块土地位置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面积(㎡)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用途</w:t>
            </w:r>
          </w:p>
        </w:tc>
        <w:tc>
          <w:tcPr>
            <w:tcW w:w="709" w:type="dxa"/>
            <w:vAlign w:val="center"/>
          </w:tcPr>
          <w:p w:rsidR="00124DF9" w:rsidRPr="008F7FBE" w:rsidRDefault="00173C88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容积率</w:t>
            </w:r>
          </w:p>
        </w:tc>
        <w:tc>
          <w:tcPr>
            <w:tcW w:w="761" w:type="dxa"/>
            <w:vAlign w:val="center"/>
          </w:tcPr>
          <w:p w:rsidR="00124DF9" w:rsidRPr="008F7FBE" w:rsidRDefault="00173C88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楼面地价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成交价（万元）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成交时间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折合单价（万元/亩）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[2017]网挂第020号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云龙龙头铺办事处龙头社区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储备</w:t>
            </w: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地一号地块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76456.51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住宅用地兼容商业10%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13761.6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2017.</w:t>
            </w: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7.27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[2017]网挂第021号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云龙学林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办事处大丰</w:t>
            </w: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年储备</w:t>
            </w: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地三号地块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18693.94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住宅用地兼容商业≤10%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1012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3785.4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2017.</w:t>
            </w: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7.27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[2017]网挂第022号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天元区38区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74963.65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商住用地兼容商业比例10%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2253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33785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2017</w:t>
            </w: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.7.28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[2017]网挂第023号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石峰区报亭路以东、联诚路以西、时代大道以北、智谷一期以南地块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23218.67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1252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2017.</w:t>
            </w: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8.2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[2017]网挂第024号</w:t>
            </w:r>
          </w:p>
        </w:tc>
        <w:tc>
          <w:tcPr>
            <w:tcW w:w="2227" w:type="dxa"/>
            <w:vAlign w:val="center"/>
          </w:tcPr>
          <w:p w:rsidR="00124DF9" w:rsidRPr="008F7FBE" w:rsidRDefault="00173C88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石峰区联诚路以东、时代路</w:t>
            </w:r>
            <w:r w:rsidR="00124DF9"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以北、试车线以西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76994.98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269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4143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2017.</w:t>
            </w: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8.2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[2017]网挂第025号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天元区天易科技城自主创业园I地块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68767.19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909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2017.</w:t>
            </w: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8.4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[2017]网挂第026号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天元区株洲大道北</w:t>
            </w: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区域汽车博览园地块12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6551.09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零售商业用地</w:t>
            </w:r>
          </w:p>
        </w:tc>
        <w:tc>
          <w:tcPr>
            <w:tcW w:w="709" w:type="dxa"/>
            <w:vAlign w:val="center"/>
          </w:tcPr>
          <w:p w:rsidR="00124DF9" w:rsidRPr="008F7FBE" w:rsidRDefault="00124DF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 w:rsidR="00124DF9" w:rsidRPr="008F7FBE" w:rsidRDefault="00124DF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流拍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[2017]网挂第027号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天元区株洲大道北</w:t>
            </w: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区域汽车博览园地块18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4754.37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零售商业用地</w:t>
            </w:r>
          </w:p>
        </w:tc>
        <w:tc>
          <w:tcPr>
            <w:tcW w:w="709" w:type="dxa"/>
            <w:vAlign w:val="center"/>
          </w:tcPr>
          <w:p w:rsidR="00124DF9" w:rsidRPr="008F7FBE" w:rsidRDefault="00124DF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 w:rsidR="00124DF9" w:rsidRPr="008F7FBE" w:rsidRDefault="00124DF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流拍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[2017]网挂第028号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荷塘区新华东路西侧，税务路东侧晏家湾地块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7509.32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城镇住宅兼容商服用地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1324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3479.22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2017.8.7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309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网挂编号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地块土地位置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面积(㎡)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用途</w:t>
            </w:r>
          </w:p>
        </w:tc>
        <w:tc>
          <w:tcPr>
            <w:tcW w:w="709" w:type="dxa"/>
            <w:vAlign w:val="center"/>
          </w:tcPr>
          <w:p w:rsidR="00124DF9" w:rsidRPr="008F7FBE" w:rsidRDefault="00173C88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容积率</w:t>
            </w:r>
          </w:p>
        </w:tc>
        <w:tc>
          <w:tcPr>
            <w:tcW w:w="761" w:type="dxa"/>
            <w:vAlign w:val="center"/>
          </w:tcPr>
          <w:p w:rsidR="00124DF9" w:rsidRPr="008F7FBE" w:rsidRDefault="00173C88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楼面地价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成交价（万元）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成交时间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折合单价（万元/亩）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[2017]网挂第029号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荷塘区红旗南路东环线西侧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7123.98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城镇住宅兼容商服用地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1207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2580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2017.8.25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[2017]网挂第030号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天元区35区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21983.3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城镇住宅兼容商服用地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61" w:type="dxa"/>
            <w:vAlign w:val="center"/>
          </w:tcPr>
          <w:p w:rsidR="00124DF9" w:rsidRPr="008F7FBE" w:rsidRDefault="00124DF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流拍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[2017]网挂第031号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新马工业园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37987.04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1425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2017.8.30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[2017]网挂第032号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荷塘区金钩山路千金药业西侧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12235.09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城镇住宅兼容商服用地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1129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4836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2017.9.6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264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[2017]网挂第033号</w:t>
            </w:r>
          </w:p>
        </w:tc>
        <w:tc>
          <w:tcPr>
            <w:tcW w:w="2227" w:type="dxa"/>
            <w:vAlign w:val="center"/>
          </w:tcPr>
          <w:p w:rsidR="00124DF9" w:rsidRPr="008F7FBE" w:rsidRDefault="00173C88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荷塘区</w:t>
            </w:r>
            <w:r w:rsidR="00124DF9"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金达路以西、枫丹路以东、金山路以南、香榭路以北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43755.06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1864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2017.9.6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[2017]网挂第034号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芦淞区董家塅高科园地块一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167608.18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8146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2017.9.6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[2017]网挂第035号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芦淞区董家塅高科园（董家塅街道办事处百井村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41549.6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1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1825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2017.9.6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</w:tr>
      <w:tr w:rsidR="00124DF9" w:rsidRPr="008F7FBE" w:rsidTr="008939B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[2017]网挂第036号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云龙龙头铺街道办事处兴隆山社区2017年储备土地二号地块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/>
                <w:kern w:val="0"/>
                <w:sz w:val="20"/>
                <w:szCs w:val="20"/>
              </w:rPr>
              <w:t>46653.56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商住用地兼容住宅37%、服务设施8%</w:t>
            </w:r>
          </w:p>
        </w:tc>
        <w:tc>
          <w:tcPr>
            <w:tcW w:w="709" w:type="dxa"/>
            <w:vAlign w:val="center"/>
          </w:tcPr>
          <w:p w:rsidR="00124DF9" w:rsidRPr="008F7FBE" w:rsidRDefault="008939B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2.1</w:t>
            </w:r>
          </w:p>
        </w:tc>
        <w:tc>
          <w:tcPr>
            <w:tcW w:w="761" w:type="dxa"/>
            <w:vAlign w:val="center"/>
          </w:tcPr>
          <w:p w:rsidR="00124DF9" w:rsidRPr="008F7FBE" w:rsidRDefault="00124DF9" w:rsidP="008939B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流拍</w:t>
            </w: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24DF9" w:rsidRPr="008F7FBE" w:rsidTr="00124DF9">
        <w:trPr>
          <w:cantSplit/>
          <w:trHeight w:val="1020"/>
          <w:jc w:val="center"/>
        </w:trPr>
        <w:tc>
          <w:tcPr>
            <w:tcW w:w="42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1419976</w:t>
            </w:r>
          </w:p>
        </w:tc>
        <w:tc>
          <w:tcPr>
            <w:tcW w:w="1275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F7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376550.22</w:t>
            </w:r>
          </w:p>
        </w:tc>
        <w:tc>
          <w:tcPr>
            <w:tcW w:w="1134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124DF9" w:rsidRPr="008F7FBE" w:rsidRDefault="00124DF9" w:rsidP="008F7FB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5264DD" w:rsidRPr="008F7FBE" w:rsidRDefault="005264DD" w:rsidP="00173C88">
      <w:pPr>
        <w:widowControl/>
        <w:spacing w:line="600" w:lineRule="exact"/>
        <w:rPr>
          <w:rFonts w:ascii="宋体" w:eastAsia="宋体" w:hAnsi="宋体" w:cs="宋体"/>
          <w:kern w:val="0"/>
          <w:sz w:val="32"/>
          <w:szCs w:val="32"/>
        </w:rPr>
      </w:pPr>
    </w:p>
    <w:sectPr w:rsidR="005264DD" w:rsidRPr="008F7FBE" w:rsidSect="001F0E3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55A" w:rsidRDefault="00A5055A" w:rsidP="00D40246">
      <w:r>
        <w:separator/>
      </w:r>
    </w:p>
  </w:endnote>
  <w:endnote w:type="continuationSeparator" w:id="0">
    <w:p w:rsidR="00A5055A" w:rsidRDefault="00A5055A" w:rsidP="00D4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6057"/>
      <w:docPartObj>
        <w:docPartGallery w:val="Page Numbers (Bottom of Page)"/>
        <w:docPartUnique/>
      </w:docPartObj>
    </w:sdtPr>
    <w:sdtContent>
      <w:p w:rsidR="008F7FBE" w:rsidRDefault="00E16230">
        <w:pPr>
          <w:pStyle w:val="a4"/>
          <w:jc w:val="center"/>
        </w:pPr>
        <w:fldSimple w:instr=" PAGE   \* MERGEFORMAT ">
          <w:r w:rsidR="002C78E4" w:rsidRPr="002C78E4">
            <w:rPr>
              <w:noProof/>
              <w:lang w:val="zh-CN"/>
            </w:rPr>
            <w:t>4</w:t>
          </w:r>
        </w:fldSimple>
      </w:p>
    </w:sdtContent>
  </w:sdt>
  <w:p w:rsidR="008F7FBE" w:rsidRDefault="008F7F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55A" w:rsidRDefault="00A5055A" w:rsidP="00D40246">
      <w:r>
        <w:separator/>
      </w:r>
    </w:p>
  </w:footnote>
  <w:footnote w:type="continuationSeparator" w:id="0">
    <w:p w:rsidR="00A5055A" w:rsidRDefault="00A5055A" w:rsidP="00D402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246"/>
    <w:rsid w:val="0003067D"/>
    <w:rsid w:val="00036128"/>
    <w:rsid w:val="000812FF"/>
    <w:rsid w:val="000967A7"/>
    <w:rsid w:val="000A4C1D"/>
    <w:rsid w:val="000C28CD"/>
    <w:rsid w:val="00124DF9"/>
    <w:rsid w:val="00147C23"/>
    <w:rsid w:val="0017234B"/>
    <w:rsid w:val="00173C88"/>
    <w:rsid w:val="00182949"/>
    <w:rsid w:val="001E0729"/>
    <w:rsid w:val="001F0E38"/>
    <w:rsid w:val="002123A8"/>
    <w:rsid w:val="00231F2B"/>
    <w:rsid w:val="002724C1"/>
    <w:rsid w:val="002A5480"/>
    <w:rsid w:val="002C7407"/>
    <w:rsid w:val="002C78E4"/>
    <w:rsid w:val="002D2C41"/>
    <w:rsid w:val="002D5D35"/>
    <w:rsid w:val="002D5F3B"/>
    <w:rsid w:val="002E6921"/>
    <w:rsid w:val="002E779D"/>
    <w:rsid w:val="0034639D"/>
    <w:rsid w:val="00375A48"/>
    <w:rsid w:val="00380DD6"/>
    <w:rsid w:val="00396B9F"/>
    <w:rsid w:val="003C5890"/>
    <w:rsid w:val="004635BD"/>
    <w:rsid w:val="0046788C"/>
    <w:rsid w:val="00467F9E"/>
    <w:rsid w:val="004735C7"/>
    <w:rsid w:val="004754AE"/>
    <w:rsid w:val="00495B7A"/>
    <w:rsid w:val="00497251"/>
    <w:rsid w:val="004A081B"/>
    <w:rsid w:val="004C4476"/>
    <w:rsid w:val="004E37A1"/>
    <w:rsid w:val="005264DD"/>
    <w:rsid w:val="00554BE0"/>
    <w:rsid w:val="0058485F"/>
    <w:rsid w:val="005B2BF7"/>
    <w:rsid w:val="005C1EA3"/>
    <w:rsid w:val="005D5A2E"/>
    <w:rsid w:val="005D792D"/>
    <w:rsid w:val="00676B05"/>
    <w:rsid w:val="00692B1B"/>
    <w:rsid w:val="006A73F5"/>
    <w:rsid w:val="006B1C62"/>
    <w:rsid w:val="006D7203"/>
    <w:rsid w:val="00720869"/>
    <w:rsid w:val="007860B8"/>
    <w:rsid w:val="00787A9C"/>
    <w:rsid w:val="0083693E"/>
    <w:rsid w:val="00877F29"/>
    <w:rsid w:val="00881DB7"/>
    <w:rsid w:val="008939B9"/>
    <w:rsid w:val="008A365B"/>
    <w:rsid w:val="008D00AC"/>
    <w:rsid w:val="008D211C"/>
    <w:rsid w:val="008E5788"/>
    <w:rsid w:val="008F7FBE"/>
    <w:rsid w:val="009403FE"/>
    <w:rsid w:val="009572EE"/>
    <w:rsid w:val="00990976"/>
    <w:rsid w:val="00A027F3"/>
    <w:rsid w:val="00A36F09"/>
    <w:rsid w:val="00A5055A"/>
    <w:rsid w:val="00A96F76"/>
    <w:rsid w:val="00AA492E"/>
    <w:rsid w:val="00AB7EF5"/>
    <w:rsid w:val="00AD0C98"/>
    <w:rsid w:val="00B07CDC"/>
    <w:rsid w:val="00B119D9"/>
    <w:rsid w:val="00B660A7"/>
    <w:rsid w:val="00B81DE4"/>
    <w:rsid w:val="00BC0078"/>
    <w:rsid w:val="00C05333"/>
    <w:rsid w:val="00C24970"/>
    <w:rsid w:val="00C25E78"/>
    <w:rsid w:val="00C336DF"/>
    <w:rsid w:val="00C61478"/>
    <w:rsid w:val="00C62D31"/>
    <w:rsid w:val="00C66150"/>
    <w:rsid w:val="00C713DE"/>
    <w:rsid w:val="00C90118"/>
    <w:rsid w:val="00CA4025"/>
    <w:rsid w:val="00D12368"/>
    <w:rsid w:val="00D27568"/>
    <w:rsid w:val="00D31D4E"/>
    <w:rsid w:val="00D3448A"/>
    <w:rsid w:val="00D360C5"/>
    <w:rsid w:val="00D40246"/>
    <w:rsid w:val="00D67F59"/>
    <w:rsid w:val="00E16230"/>
    <w:rsid w:val="00E400A4"/>
    <w:rsid w:val="00E7433C"/>
    <w:rsid w:val="00E85DAF"/>
    <w:rsid w:val="00EA044E"/>
    <w:rsid w:val="00EC61A6"/>
    <w:rsid w:val="00ED2E12"/>
    <w:rsid w:val="00ED7B70"/>
    <w:rsid w:val="00F84AD9"/>
    <w:rsid w:val="00FA5421"/>
    <w:rsid w:val="00FD33D4"/>
    <w:rsid w:val="00FF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3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4024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2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24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4024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D40246"/>
  </w:style>
  <w:style w:type="paragraph" w:styleId="a5">
    <w:name w:val="Normal (Web)"/>
    <w:basedOn w:val="a"/>
    <w:uiPriority w:val="99"/>
    <w:unhideWhenUsed/>
    <w:rsid w:val="00D402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4024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4E37A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37A1"/>
    <w:rPr>
      <w:sz w:val="18"/>
      <w:szCs w:val="18"/>
    </w:rPr>
  </w:style>
  <w:style w:type="table" w:styleId="a8">
    <w:name w:val="Table Grid"/>
    <w:basedOn w:val="a1"/>
    <w:uiPriority w:val="59"/>
    <w:rsid w:val="000C2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DFC49A-5E3D-4814-8C14-A6004539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6</Pages>
  <Words>480</Words>
  <Characters>2742</Characters>
  <Application>Microsoft Office Word</Application>
  <DocSecurity>0</DocSecurity>
  <Lines>22</Lines>
  <Paragraphs>6</Paragraphs>
  <ScaleCrop>false</ScaleCrop>
  <Company>china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夏滨</dc:creator>
  <cp:keywords/>
  <dc:description/>
  <cp:lastModifiedBy>周  林</cp:lastModifiedBy>
  <cp:revision>30</cp:revision>
  <dcterms:created xsi:type="dcterms:W3CDTF">2017-06-29T01:19:00Z</dcterms:created>
  <dcterms:modified xsi:type="dcterms:W3CDTF">2017-10-09T02:08:00Z</dcterms:modified>
</cp:coreProperties>
</file>