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64D" w:rsidRPr="007F264D" w:rsidRDefault="007F264D" w:rsidP="007F264D">
      <w:pPr>
        <w:jc w:val="center"/>
        <w:rPr>
          <w:rFonts w:ascii="仿宋" w:eastAsia="仿宋" w:hAnsi="仿宋"/>
          <w:sz w:val="44"/>
          <w:szCs w:val="44"/>
        </w:rPr>
      </w:pPr>
      <w:r w:rsidRPr="007F264D">
        <w:rPr>
          <w:rFonts w:ascii="仿宋" w:eastAsia="仿宋" w:hAnsi="仿宋" w:hint="eastAsia"/>
          <w:sz w:val="44"/>
          <w:szCs w:val="44"/>
        </w:rPr>
        <w:t>醴陵市房产管理局</w:t>
      </w:r>
    </w:p>
    <w:p w:rsidR="007F264D" w:rsidRPr="007F264D" w:rsidRDefault="007F264D" w:rsidP="007F264D">
      <w:pPr>
        <w:jc w:val="center"/>
        <w:rPr>
          <w:rFonts w:ascii="仿宋" w:eastAsia="仿宋" w:hAnsi="仿宋"/>
          <w:sz w:val="44"/>
          <w:szCs w:val="44"/>
        </w:rPr>
      </w:pPr>
      <w:r w:rsidRPr="007F264D">
        <w:rPr>
          <w:rFonts w:ascii="仿宋" w:eastAsia="仿宋" w:hAnsi="仿宋" w:hint="eastAsia"/>
          <w:sz w:val="44"/>
          <w:szCs w:val="44"/>
        </w:rPr>
        <w:t>2016年度部门决算公开</w:t>
      </w:r>
    </w:p>
    <w:p w:rsidR="007F264D" w:rsidRPr="007F264D" w:rsidRDefault="007F264D" w:rsidP="007F264D">
      <w:pPr>
        <w:rPr>
          <w:rFonts w:ascii="仿宋" w:eastAsia="仿宋" w:hAnsi="仿宋"/>
          <w:sz w:val="30"/>
          <w:szCs w:val="30"/>
        </w:rPr>
      </w:pPr>
    </w:p>
    <w:p w:rsidR="007F264D" w:rsidRPr="007F264D" w:rsidRDefault="007F264D" w:rsidP="007F264D">
      <w:pPr>
        <w:rPr>
          <w:rFonts w:ascii="仿宋" w:eastAsia="仿宋" w:hAnsi="仿宋"/>
          <w:sz w:val="30"/>
          <w:szCs w:val="30"/>
        </w:rPr>
      </w:pPr>
      <w:r w:rsidRPr="007F264D">
        <w:rPr>
          <w:rFonts w:ascii="仿宋" w:eastAsia="仿宋" w:hAnsi="仿宋" w:hint="eastAsia"/>
          <w:sz w:val="30"/>
          <w:szCs w:val="30"/>
        </w:rPr>
        <w:t>一、</w:t>
      </w:r>
      <w:r w:rsidRPr="007F264D">
        <w:rPr>
          <w:rFonts w:ascii="仿宋" w:eastAsia="仿宋" w:hAnsi="仿宋" w:hint="eastAsia"/>
          <w:sz w:val="30"/>
          <w:szCs w:val="30"/>
        </w:rPr>
        <w:tab/>
        <w:t>部门职责及机构设置情况</w:t>
      </w:r>
    </w:p>
    <w:p w:rsidR="007F264D" w:rsidRPr="007F264D" w:rsidRDefault="007F264D" w:rsidP="007F264D">
      <w:pPr>
        <w:ind w:firstLineChars="200" w:firstLine="600"/>
        <w:rPr>
          <w:rFonts w:ascii="仿宋" w:eastAsia="仿宋" w:hAnsi="仿宋"/>
          <w:sz w:val="30"/>
          <w:szCs w:val="30"/>
        </w:rPr>
      </w:pPr>
      <w:r w:rsidRPr="007F264D">
        <w:rPr>
          <w:rFonts w:ascii="仿宋" w:eastAsia="仿宋" w:hAnsi="仿宋" w:hint="eastAsia"/>
          <w:sz w:val="30"/>
          <w:szCs w:val="30"/>
        </w:rPr>
        <w:t>根据《中共醴陵市委办公室醴陵市人民政府办公室关于印发&lt;醴陵市人民政府机构改革方案的实施意见&gt;的通知》（醴办发[2010]23号）醴陵市房产管理局是市人民政府授权主管全市房产事业的正科级事业机构。醴陵市房产管理局内设</w:t>
      </w:r>
      <w:r w:rsidR="00D633B4">
        <w:rPr>
          <w:rFonts w:ascii="仿宋" w:eastAsia="仿宋" w:hAnsi="仿宋" w:hint="eastAsia"/>
          <w:sz w:val="30"/>
          <w:szCs w:val="30"/>
        </w:rPr>
        <w:t>6</w:t>
      </w:r>
      <w:r w:rsidRPr="007F264D">
        <w:rPr>
          <w:rFonts w:ascii="仿宋" w:eastAsia="仿宋" w:hAnsi="仿宋" w:hint="eastAsia"/>
          <w:sz w:val="30"/>
          <w:szCs w:val="30"/>
        </w:rPr>
        <w:t>个股室。依法</w:t>
      </w:r>
      <w:r w:rsidR="00022201">
        <w:rPr>
          <w:rFonts w:ascii="仿宋" w:eastAsia="仿宋" w:hAnsi="仿宋" w:hint="eastAsia"/>
          <w:sz w:val="30"/>
          <w:szCs w:val="30"/>
        </w:rPr>
        <w:t>依</w:t>
      </w:r>
      <w:r w:rsidRPr="007F264D">
        <w:rPr>
          <w:rFonts w:ascii="仿宋" w:eastAsia="仿宋" w:hAnsi="仿宋" w:hint="eastAsia"/>
          <w:sz w:val="30"/>
          <w:szCs w:val="30"/>
        </w:rPr>
        <w:t>规管理</w:t>
      </w:r>
      <w:r w:rsidR="00D633B4">
        <w:rPr>
          <w:rFonts w:ascii="仿宋" w:eastAsia="仿宋" w:hAnsi="仿宋" w:hint="eastAsia"/>
          <w:sz w:val="30"/>
          <w:szCs w:val="30"/>
        </w:rPr>
        <w:t>二级</w:t>
      </w:r>
      <w:r w:rsidRPr="007F264D">
        <w:rPr>
          <w:rFonts w:ascii="仿宋" w:eastAsia="仿宋" w:hAnsi="仿宋" w:hint="eastAsia"/>
          <w:sz w:val="30"/>
          <w:szCs w:val="30"/>
        </w:rPr>
        <w:t>机构</w:t>
      </w:r>
      <w:r w:rsidR="00D633B4">
        <w:rPr>
          <w:rFonts w:ascii="仿宋" w:eastAsia="仿宋" w:hAnsi="仿宋" w:hint="eastAsia"/>
          <w:sz w:val="30"/>
          <w:szCs w:val="30"/>
        </w:rPr>
        <w:t>17</w:t>
      </w:r>
      <w:r w:rsidRPr="007F264D">
        <w:rPr>
          <w:rFonts w:ascii="仿宋" w:eastAsia="仿宋" w:hAnsi="仿宋" w:hint="eastAsia"/>
          <w:sz w:val="30"/>
          <w:szCs w:val="30"/>
        </w:rPr>
        <w:t>个。市房产管理局总体编制174人，机关事业编制为22名。</w:t>
      </w:r>
    </w:p>
    <w:p w:rsidR="007F264D" w:rsidRPr="007F264D" w:rsidRDefault="007F264D" w:rsidP="007F264D">
      <w:pPr>
        <w:rPr>
          <w:rFonts w:ascii="仿宋" w:eastAsia="仿宋" w:hAnsi="仿宋"/>
          <w:sz w:val="30"/>
          <w:szCs w:val="30"/>
        </w:rPr>
      </w:pPr>
      <w:r w:rsidRPr="007F264D">
        <w:rPr>
          <w:rFonts w:ascii="仿宋" w:eastAsia="仿宋" w:hAnsi="仿宋" w:hint="eastAsia"/>
          <w:sz w:val="30"/>
          <w:szCs w:val="30"/>
        </w:rPr>
        <w:t>领导职数：局长1名，副局长</w:t>
      </w:r>
      <w:r w:rsidR="00740FED">
        <w:rPr>
          <w:rFonts w:ascii="仿宋" w:eastAsia="仿宋" w:hAnsi="仿宋" w:hint="eastAsia"/>
          <w:sz w:val="30"/>
          <w:szCs w:val="30"/>
        </w:rPr>
        <w:t>3</w:t>
      </w:r>
      <w:r w:rsidRPr="007F264D">
        <w:rPr>
          <w:rFonts w:ascii="仿宋" w:eastAsia="仿宋" w:hAnsi="仿宋" w:hint="eastAsia"/>
          <w:sz w:val="30"/>
          <w:szCs w:val="30"/>
        </w:rPr>
        <w:t>名，总经济师1名。</w:t>
      </w:r>
    </w:p>
    <w:p w:rsidR="007F264D" w:rsidRPr="007F264D" w:rsidRDefault="007F264D" w:rsidP="007F264D">
      <w:pPr>
        <w:rPr>
          <w:rFonts w:ascii="仿宋" w:eastAsia="仿宋" w:hAnsi="仿宋"/>
          <w:sz w:val="30"/>
          <w:szCs w:val="30"/>
        </w:rPr>
      </w:pPr>
      <w:r w:rsidRPr="007F264D">
        <w:rPr>
          <w:rFonts w:ascii="仿宋" w:eastAsia="仿宋" w:hAnsi="仿宋" w:hint="eastAsia"/>
          <w:sz w:val="30"/>
          <w:szCs w:val="30"/>
        </w:rPr>
        <w:t>纪检监察、党群团组织的人员按章程和有关规定配置。</w:t>
      </w:r>
    </w:p>
    <w:p w:rsidR="007F264D" w:rsidRPr="007F264D" w:rsidRDefault="007F264D" w:rsidP="007F264D">
      <w:pPr>
        <w:rPr>
          <w:rFonts w:ascii="仿宋" w:eastAsia="仿宋" w:hAnsi="仿宋"/>
          <w:sz w:val="30"/>
          <w:szCs w:val="30"/>
        </w:rPr>
      </w:pPr>
      <w:r w:rsidRPr="007F264D">
        <w:rPr>
          <w:rFonts w:ascii="仿宋" w:eastAsia="仿宋" w:hAnsi="仿宋" w:hint="eastAsia"/>
          <w:sz w:val="30"/>
          <w:szCs w:val="30"/>
        </w:rPr>
        <w:t>其主要职能是：</w:t>
      </w:r>
    </w:p>
    <w:p w:rsidR="007F264D" w:rsidRPr="007F264D" w:rsidRDefault="007F264D" w:rsidP="007F264D">
      <w:pPr>
        <w:ind w:firstLineChars="200" w:firstLine="600"/>
        <w:rPr>
          <w:rFonts w:ascii="仿宋" w:eastAsia="仿宋" w:hAnsi="仿宋"/>
          <w:sz w:val="30"/>
          <w:szCs w:val="30"/>
        </w:rPr>
      </w:pPr>
      <w:r w:rsidRPr="007F264D">
        <w:rPr>
          <w:rFonts w:ascii="仿宋" w:eastAsia="仿宋" w:hAnsi="仿宋" w:hint="eastAsia"/>
          <w:sz w:val="30"/>
          <w:szCs w:val="30"/>
        </w:rPr>
        <w:t>（一）贯彻执行国家及省有关房地产业的方针、政策和法律法规，拟定本市房产管理政策和实施办法，并监督实施。</w:t>
      </w:r>
    </w:p>
    <w:p w:rsidR="007F264D" w:rsidRPr="007F264D" w:rsidRDefault="007F264D" w:rsidP="007F264D">
      <w:pPr>
        <w:ind w:firstLineChars="200" w:firstLine="600"/>
        <w:rPr>
          <w:rFonts w:ascii="仿宋" w:eastAsia="仿宋" w:hAnsi="仿宋"/>
          <w:sz w:val="30"/>
          <w:szCs w:val="30"/>
        </w:rPr>
      </w:pPr>
      <w:r w:rsidRPr="007F264D">
        <w:rPr>
          <w:rFonts w:ascii="仿宋" w:eastAsia="仿宋" w:hAnsi="仿宋" w:hint="eastAsia"/>
          <w:sz w:val="30"/>
          <w:szCs w:val="30"/>
        </w:rPr>
        <w:t>（二）根据市总体规划的要求，负责编制全市房地产业和城市住宅建设发展规划、设计，并组织实施。</w:t>
      </w:r>
    </w:p>
    <w:p w:rsidR="007F264D" w:rsidRPr="007F264D" w:rsidRDefault="007F264D" w:rsidP="007F264D">
      <w:pPr>
        <w:ind w:firstLineChars="200" w:firstLine="600"/>
        <w:rPr>
          <w:rFonts w:ascii="仿宋" w:eastAsia="仿宋" w:hAnsi="仿宋"/>
          <w:sz w:val="30"/>
          <w:szCs w:val="30"/>
        </w:rPr>
      </w:pPr>
      <w:r w:rsidRPr="007F264D">
        <w:rPr>
          <w:rFonts w:ascii="仿宋" w:eastAsia="仿宋" w:hAnsi="仿宋" w:hint="eastAsia"/>
          <w:sz w:val="30"/>
          <w:szCs w:val="30"/>
        </w:rPr>
        <w:t>（三）统一管理城市房产产权、产籍；负责不动产登记簿的登记以及房产权属证书颁发与房产测绘、产籍档案管理。</w:t>
      </w:r>
    </w:p>
    <w:p w:rsidR="007F264D" w:rsidRPr="007F264D" w:rsidRDefault="007F264D" w:rsidP="007F264D">
      <w:pPr>
        <w:ind w:firstLineChars="200" w:firstLine="600"/>
        <w:rPr>
          <w:rFonts w:ascii="仿宋" w:eastAsia="仿宋" w:hAnsi="仿宋"/>
          <w:sz w:val="30"/>
          <w:szCs w:val="30"/>
        </w:rPr>
      </w:pPr>
      <w:r w:rsidRPr="007F264D">
        <w:rPr>
          <w:rFonts w:ascii="仿宋" w:eastAsia="仿宋" w:hAnsi="仿宋" w:hint="eastAsia"/>
          <w:sz w:val="30"/>
          <w:szCs w:val="30"/>
        </w:rPr>
        <w:t>（四）负责房产市场管理，规范各类房产交易行为；负责房产中介服务的管理。</w:t>
      </w:r>
    </w:p>
    <w:p w:rsidR="007F264D" w:rsidRPr="007F264D" w:rsidRDefault="007F264D" w:rsidP="007F264D">
      <w:pPr>
        <w:ind w:firstLineChars="200" w:firstLine="600"/>
        <w:rPr>
          <w:rFonts w:ascii="仿宋" w:eastAsia="仿宋" w:hAnsi="仿宋"/>
          <w:sz w:val="30"/>
          <w:szCs w:val="30"/>
        </w:rPr>
      </w:pPr>
      <w:r w:rsidRPr="007F264D">
        <w:rPr>
          <w:rFonts w:ascii="仿宋" w:eastAsia="仿宋" w:hAnsi="仿宋" w:hint="eastAsia"/>
          <w:sz w:val="30"/>
          <w:szCs w:val="30"/>
        </w:rPr>
        <w:t>（五）负责房产租赁管理，规范房产租赁行为。</w:t>
      </w:r>
    </w:p>
    <w:p w:rsidR="007F264D" w:rsidRPr="007F264D" w:rsidRDefault="007F264D" w:rsidP="007F264D">
      <w:pPr>
        <w:ind w:firstLineChars="200" w:firstLine="600"/>
        <w:rPr>
          <w:rFonts w:ascii="仿宋" w:eastAsia="仿宋" w:hAnsi="仿宋"/>
          <w:sz w:val="30"/>
          <w:szCs w:val="30"/>
        </w:rPr>
      </w:pPr>
      <w:r w:rsidRPr="007F264D">
        <w:rPr>
          <w:rFonts w:ascii="仿宋" w:eastAsia="仿宋" w:hAnsi="仿宋" w:hint="eastAsia"/>
          <w:sz w:val="30"/>
          <w:szCs w:val="30"/>
        </w:rPr>
        <w:lastRenderedPageBreak/>
        <w:t>（六）负责城市房屋拆迁的监管；制定拆迁实施方案，接受拆迁委托；负责房屋安全鉴定、住宅小区物业、白蚁防治和异产毗邻房屋管理等工作。</w:t>
      </w:r>
    </w:p>
    <w:p w:rsidR="007F264D" w:rsidRPr="007F264D" w:rsidRDefault="007F264D" w:rsidP="007F264D">
      <w:pPr>
        <w:ind w:firstLineChars="200" w:firstLine="600"/>
        <w:rPr>
          <w:rFonts w:ascii="仿宋" w:eastAsia="仿宋" w:hAnsi="仿宋"/>
          <w:sz w:val="30"/>
          <w:szCs w:val="30"/>
        </w:rPr>
      </w:pPr>
      <w:r w:rsidRPr="007F264D">
        <w:rPr>
          <w:rFonts w:ascii="仿宋" w:eastAsia="仿宋" w:hAnsi="仿宋" w:hint="eastAsia"/>
          <w:sz w:val="30"/>
          <w:szCs w:val="30"/>
        </w:rPr>
        <w:t>（七）负责房屋接管、没收、代管、托管以及直管公房的权属、经租、交换、拆迁异动和修缮等管理工作。</w:t>
      </w:r>
    </w:p>
    <w:p w:rsidR="007F264D" w:rsidRPr="007F264D" w:rsidRDefault="007F264D" w:rsidP="007F264D">
      <w:pPr>
        <w:ind w:firstLineChars="200" w:firstLine="600"/>
        <w:rPr>
          <w:rFonts w:ascii="仿宋" w:eastAsia="仿宋" w:hAnsi="仿宋"/>
          <w:sz w:val="30"/>
          <w:szCs w:val="30"/>
        </w:rPr>
      </w:pPr>
      <w:r w:rsidRPr="007F264D">
        <w:rPr>
          <w:rFonts w:ascii="仿宋" w:eastAsia="仿宋" w:hAnsi="仿宋" w:hint="eastAsia"/>
          <w:sz w:val="30"/>
          <w:szCs w:val="30"/>
        </w:rPr>
        <w:t>（八）负责保障性住房的实施和管理；负责全市住房制度改革管理工作。</w:t>
      </w:r>
    </w:p>
    <w:p w:rsidR="007F264D" w:rsidRPr="007F264D" w:rsidRDefault="007F264D" w:rsidP="007F264D">
      <w:pPr>
        <w:ind w:firstLineChars="200" w:firstLine="600"/>
        <w:rPr>
          <w:rFonts w:ascii="仿宋" w:eastAsia="仿宋" w:hAnsi="仿宋"/>
          <w:sz w:val="30"/>
          <w:szCs w:val="30"/>
        </w:rPr>
      </w:pPr>
      <w:r w:rsidRPr="007F264D">
        <w:rPr>
          <w:rFonts w:ascii="仿宋" w:eastAsia="仿宋" w:hAnsi="仿宋" w:hint="eastAsia"/>
          <w:sz w:val="30"/>
          <w:szCs w:val="30"/>
        </w:rPr>
        <w:t>（九）负责全市房地产开发经营的管理，负责对房地产开发企业进行管理；负责商品房预销售及销售的管理。</w:t>
      </w:r>
    </w:p>
    <w:p w:rsidR="007F264D" w:rsidRPr="007F264D" w:rsidRDefault="007F264D" w:rsidP="007F264D">
      <w:pPr>
        <w:ind w:firstLineChars="200" w:firstLine="600"/>
        <w:rPr>
          <w:rFonts w:ascii="仿宋" w:eastAsia="仿宋" w:hAnsi="仿宋"/>
          <w:sz w:val="30"/>
          <w:szCs w:val="30"/>
        </w:rPr>
      </w:pPr>
      <w:r w:rsidRPr="007F264D">
        <w:rPr>
          <w:rFonts w:ascii="仿宋" w:eastAsia="仿宋" w:hAnsi="仿宋" w:hint="eastAsia"/>
          <w:sz w:val="30"/>
          <w:szCs w:val="30"/>
        </w:rPr>
        <w:t>（十）负责房屋维修资金管理工作；负责住宅室内装饰装修管理工作。</w:t>
      </w:r>
    </w:p>
    <w:p w:rsidR="007F264D" w:rsidRPr="007F264D" w:rsidRDefault="007F264D" w:rsidP="007F264D">
      <w:pPr>
        <w:ind w:firstLineChars="200" w:firstLine="600"/>
        <w:rPr>
          <w:rFonts w:ascii="仿宋" w:eastAsia="仿宋" w:hAnsi="仿宋"/>
          <w:sz w:val="30"/>
          <w:szCs w:val="30"/>
        </w:rPr>
      </w:pPr>
      <w:r w:rsidRPr="007F264D">
        <w:rPr>
          <w:rFonts w:ascii="仿宋" w:eastAsia="仿宋" w:hAnsi="仿宋" w:hint="eastAsia"/>
          <w:sz w:val="30"/>
          <w:szCs w:val="30"/>
        </w:rPr>
        <w:t>（十一）指导市房地产业协会的工作。</w:t>
      </w:r>
    </w:p>
    <w:p w:rsidR="007F264D" w:rsidRPr="007F264D" w:rsidRDefault="007F264D" w:rsidP="007F264D">
      <w:pPr>
        <w:ind w:firstLineChars="200" w:firstLine="600"/>
        <w:rPr>
          <w:rFonts w:ascii="仿宋" w:eastAsia="仿宋" w:hAnsi="仿宋"/>
          <w:sz w:val="30"/>
          <w:szCs w:val="30"/>
        </w:rPr>
      </w:pPr>
      <w:r w:rsidRPr="007F264D">
        <w:rPr>
          <w:rFonts w:ascii="仿宋" w:eastAsia="仿宋" w:hAnsi="仿宋" w:hint="eastAsia"/>
          <w:sz w:val="30"/>
          <w:szCs w:val="30"/>
        </w:rPr>
        <w:t>（十二）完成市委、市人民政府交办的其他工作。</w:t>
      </w:r>
    </w:p>
    <w:p w:rsidR="007F264D" w:rsidRPr="007F264D" w:rsidRDefault="007F264D" w:rsidP="007F264D">
      <w:pPr>
        <w:rPr>
          <w:rFonts w:ascii="仿宋" w:eastAsia="仿宋" w:hAnsi="仿宋"/>
          <w:sz w:val="30"/>
          <w:szCs w:val="30"/>
        </w:rPr>
      </w:pPr>
    </w:p>
    <w:p w:rsidR="007F264D" w:rsidRPr="007F264D" w:rsidRDefault="007F264D" w:rsidP="007F264D">
      <w:pPr>
        <w:rPr>
          <w:rFonts w:ascii="仿宋" w:eastAsia="仿宋" w:hAnsi="仿宋"/>
          <w:sz w:val="30"/>
          <w:szCs w:val="30"/>
        </w:rPr>
      </w:pPr>
      <w:r w:rsidRPr="007F264D">
        <w:rPr>
          <w:rFonts w:ascii="仿宋" w:eastAsia="仿宋" w:hAnsi="仿宋" w:hint="eastAsia"/>
          <w:sz w:val="30"/>
          <w:szCs w:val="30"/>
        </w:rPr>
        <w:t>二、2016年度部门决算情况说明</w:t>
      </w:r>
    </w:p>
    <w:p w:rsidR="007F264D" w:rsidRPr="007F264D" w:rsidRDefault="007F264D" w:rsidP="007F264D">
      <w:pPr>
        <w:rPr>
          <w:rFonts w:ascii="仿宋" w:eastAsia="仿宋" w:hAnsi="仿宋"/>
          <w:sz w:val="30"/>
          <w:szCs w:val="30"/>
        </w:rPr>
      </w:pPr>
      <w:r w:rsidRPr="007F264D">
        <w:rPr>
          <w:rFonts w:ascii="仿宋" w:eastAsia="仿宋" w:hAnsi="仿宋" w:hint="eastAsia"/>
          <w:sz w:val="30"/>
          <w:szCs w:val="30"/>
        </w:rPr>
        <w:t>（一）决算的基本情况:</w:t>
      </w:r>
    </w:p>
    <w:p w:rsidR="007F264D" w:rsidRPr="007F264D" w:rsidRDefault="007F264D" w:rsidP="007F264D">
      <w:pPr>
        <w:rPr>
          <w:rFonts w:ascii="仿宋" w:eastAsia="仿宋" w:hAnsi="仿宋"/>
          <w:sz w:val="30"/>
          <w:szCs w:val="30"/>
        </w:rPr>
      </w:pPr>
      <w:r w:rsidRPr="007F264D">
        <w:rPr>
          <w:rFonts w:ascii="仿宋" w:eastAsia="仿宋" w:hAnsi="仿宋" w:hint="eastAsia"/>
          <w:sz w:val="30"/>
          <w:szCs w:val="30"/>
        </w:rPr>
        <w:t>1、2016年度收支决算情况：</w:t>
      </w:r>
    </w:p>
    <w:p w:rsidR="007F264D" w:rsidRPr="007F264D" w:rsidRDefault="007F264D" w:rsidP="007F264D">
      <w:pPr>
        <w:ind w:firstLineChars="200" w:firstLine="600"/>
        <w:rPr>
          <w:rFonts w:ascii="仿宋" w:eastAsia="仿宋" w:hAnsi="仿宋"/>
          <w:sz w:val="30"/>
          <w:szCs w:val="30"/>
        </w:rPr>
      </w:pPr>
      <w:r w:rsidRPr="007F264D">
        <w:rPr>
          <w:rFonts w:ascii="仿宋" w:eastAsia="仿宋" w:hAnsi="仿宋" w:hint="eastAsia"/>
          <w:sz w:val="30"/>
          <w:szCs w:val="30"/>
        </w:rPr>
        <w:t>年初结转和结余8543.56万元，全年总收入17552.11万元，全年总支出9728.5万元，其中一般公共服务支出9518.5万元，城乡社区支出210万元，住房保障支出9518.5万元，年末结余16367.17万元。</w:t>
      </w:r>
    </w:p>
    <w:p w:rsidR="007F264D" w:rsidRPr="007F264D" w:rsidRDefault="007F264D" w:rsidP="007F264D">
      <w:pPr>
        <w:rPr>
          <w:rFonts w:ascii="仿宋" w:eastAsia="仿宋" w:hAnsi="仿宋"/>
          <w:sz w:val="30"/>
          <w:szCs w:val="30"/>
        </w:rPr>
      </w:pPr>
      <w:r w:rsidRPr="007F264D">
        <w:rPr>
          <w:rFonts w:ascii="仿宋" w:eastAsia="仿宋" w:hAnsi="仿宋" w:hint="eastAsia"/>
          <w:sz w:val="30"/>
          <w:szCs w:val="30"/>
        </w:rPr>
        <w:t>2、年度一般公共财政预算财政拨款支出情况：</w:t>
      </w:r>
    </w:p>
    <w:p w:rsidR="007F264D" w:rsidRPr="007F264D" w:rsidRDefault="007F264D" w:rsidP="007F264D">
      <w:pPr>
        <w:ind w:firstLineChars="200" w:firstLine="600"/>
        <w:rPr>
          <w:rFonts w:ascii="仿宋" w:eastAsia="仿宋" w:hAnsi="仿宋"/>
          <w:sz w:val="30"/>
          <w:szCs w:val="30"/>
        </w:rPr>
      </w:pPr>
      <w:r w:rsidRPr="007F264D">
        <w:rPr>
          <w:rFonts w:ascii="仿宋" w:eastAsia="仿宋" w:hAnsi="仿宋" w:hint="eastAsia"/>
          <w:sz w:val="30"/>
          <w:szCs w:val="30"/>
        </w:rPr>
        <w:lastRenderedPageBreak/>
        <w:t>2016年度一般公共财政预算财政拨款支出9249.77万元，基本支出2056.47万元（其中人员经费1364.37万元、公用经费692.10万元）；项目支出7203.3万元。</w:t>
      </w:r>
      <w:r w:rsidR="009E181F">
        <w:rPr>
          <w:rFonts w:ascii="仿宋" w:eastAsia="仿宋" w:hAnsi="仿宋" w:hint="eastAsia"/>
          <w:sz w:val="30"/>
          <w:szCs w:val="30"/>
        </w:rPr>
        <w:t xml:space="preserve"> </w:t>
      </w:r>
    </w:p>
    <w:p w:rsidR="007F264D" w:rsidRPr="007F264D" w:rsidRDefault="007F264D" w:rsidP="007F264D">
      <w:pPr>
        <w:rPr>
          <w:rFonts w:ascii="仿宋" w:eastAsia="仿宋" w:hAnsi="仿宋"/>
          <w:sz w:val="30"/>
          <w:szCs w:val="30"/>
        </w:rPr>
      </w:pPr>
      <w:r w:rsidRPr="007F264D">
        <w:rPr>
          <w:rFonts w:ascii="仿宋" w:eastAsia="仿宋" w:hAnsi="仿宋" w:hint="eastAsia"/>
          <w:sz w:val="30"/>
          <w:szCs w:val="30"/>
        </w:rPr>
        <w:t>3、年度“三公”经费决算情况：</w:t>
      </w:r>
    </w:p>
    <w:p w:rsidR="007F264D" w:rsidRPr="007F264D" w:rsidRDefault="007F264D" w:rsidP="007F264D">
      <w:pPr>
        <w:ind w:firstLineChars="200" w:firstLine="600"/>
        <w:rPr>
          <w:rFonts w:ascii="仿宋" w:eastAsia="仿宋" w:hAnsi="仿宋"/>
          <w:sz w:val="30"/>
          <w:szCs w:val="30"/>
        </w:rPr>
      </w:pPr>
      <w:r w:rsidRPr="007F264D">
        <w:rPr>
          <w:rFonts w:ascii="仿宋" w:eastAsia="仿宋" w:hAnsi="仿宋" w:hint="eastAsia"/>
          <w:sz w:val="30"/>
          <w:szCs w:val="30"/>
        </w:rPr>
        <w:t>2016年度三公经费支出113.32，其中：公务用车运行维护费44.98万元，公务接待费68.34万元。</w:t>
      </w:r>
      <w:r w:rsidR="009E181F">
        <w:rPr>
          <w:rFonts w:ascii="仿宋" w:eastAsia="仿宋" w:hAnsi="仿宋" w:hint="eastAsia"/>
          <w:sz w:val="30"/>
          <w:szCs w:val="30"/>
        </w:rPr>
        <w:t xml:space="preserve"> </w:t>
      </w:r>
    </w:p>
    <w:p w:rsidR="007F264D" w:rsidRPr="007F264D" w:rsidRDefault="007F264D" w:rsidP="007F264D">
      <w:pPr>
        <w:rPr>
          <w:rFonts w:ascii="仿宋" w:eastAsia="仿宋" w:hAnsi="仿宋"/>
          <w:sz w:val="30"/>
          <w:szCs w:val="30"/>
        </w:rPr>
      </w:pPr>
      <w:r w:rsidRPr="007F264D">
        <w:rPr>
          <w:rFonts w:ascii="仿宋" w:eastAsia="仿宋" w:hAnsi="仿宋" w:hint="eastAsia"/>
          <w:sz w:val="30"/>
          <w:szCs w:val="30"/>
        </w:rPr>
        <w:t>4、年度机关运行经费决算情况:</w:t>
      </w:r>
    </w:p>
    <w:p w:rsidR="007F264D" w:rsidRPr="007F264D" w:rsidRDefault="007F264D" w:rsidP="007F264D">
      <w:pPr>
        <w:ind w:firstLineChars="200" w:firstLine="600"/>
        <w:rPr>
          <w:rFonts w:ascii="仿宋" w:eastAsia="仿宋" w:hAnsi="仿宋"/>
          <w:sz w:val="30"/>
          <w:szCs w:val="30"/>
        </w:rPr>
      </w:pPr>
      <w:r w:rsidRPr="007F264D">
        <w:rPr>
          <w:rFonts w:ascii="仿宋" w:eastAsia="仿宋" w:hAnsi="仿宋" w:hint="eastAsia"/>
          <w:sz w:val="30"/>
          <w:szCs w:val="30"/>
        </w:rPr>
        <w:t>2016年度机关运行经费</w:t>
      </w:r>
      <w:r w:rsidR="006A697F">
        <w:rPr>
          <w:rFonts w:ascii="仿宋" w:eastAsia="仿宋" w:hAnsi="仿宋" w:hint="eastAsia"/>
          <w:sz w:val="30"/>
          <w:szCs w:val="30"/>
        </w:rPr>
        <w:t>692.10万元</w:t>
      </w:r>
      <w:r w:rsidRPr="007F264D">
        <w:rPr>
          <w:rFonts w:ascii="仿宋" w:eastAsia="仿宋" w:hAnsi="仿宋" w:hint="eastAsia"/>
          <w:sz w:val="30"/>
          <w:szCs w:val="30"/>
        </w:rPr>
        <w:t>，其他资本性支出</w:t>
      </w:r>
      <w:r w:rsidR="006A697F">
        <w:rPr>
          <w:rFonts w:ascii="仿宋" w:eastAsia="仿宋" w:hAnsi="仿宋" w:hint="eastAsia"/>
          <w:sz w:val="30"/>
          <w:szCs w:val="30"/>
        </w:rPr>
        <w:t>84.6</w:t>
      </w:r>
      <w:r w:rsidRPr="007F264D">
        <w:rPr>
          <w:rFonts w:ascii="仿宋" w:eastAsia="仿宋" w:hAnsi="仿宋" w:hint="eastAsia"/>
          <w:sz w:val="30"/>
          <w:szCs w:val="30"/>
        </w:rPr>
        <w:t>万元，商品和服务性支出</w:t>
      </w:r>
      <w:r w:rsidR="006A697F">
        <w:rPr>
          <w:rFonts w:ascii="仿宋" w:eastAsia="仿宋" w:hAnsi="仿宋" w:hint="eastAsia"/>
          <w:sz w:val="30"/>
          <w:szCs w:val="30"/>
        </w:rPr>
        <w:t>471.5</w:t>
      </w:r>
      <w:r w:rsidRPr="007F264D">
        <w:rPr>
          <w:rFonts w:ascii="仿宋" w:eastAsia="仿宋" w:hAnsi="仿宋" w:hint="eastAsia"/>
          <w:sz w:val="30"/>
          <w:szCs w:val="30"/>
        </w:rPr>
        <w:t>万元，对企事业单位的补贴支出</w:t>
      </w:r>
      <w:r w:rsidR="006A697F">
        <w:rPr>
          <w:rFonts w:ascii="仿宋" w:eastAsia="仿宋" w:hAnsi="仿宋" w:hint="eastAsia"/>
          <w:sz w:val="30"/>
          <w:szCs w:val="30"/>
        </w:rPr>
        <w:t>136</w:t>
      </w:r>
      <w:r w:rsidRPr="007F264D">
        <w:rPr>
          <w:rFonts w:ascii="仿宋" w:eastAsia="仿宋" w:hAnsi="仿宋" w:hint="eastAsia"/>
          <w:sz w:val="30"/>
          <w:szCs w:val="30"/>
        </w:rPr>
        <w:t>万元。</w:t>
      </w:r>
    </w:p>
    <w:p w:rsidR="007F264D" w:rsidRPr="007F264D" w:rsidRDefault="007F264D" w:rsidP="007F264D">
      <w:pPr>
        <w:rPr>
          <w:rFonts w:ascii="仿宋" w:eastAsia="仿宋" w:hAnsi="仿宋"/>
          <w:sz w:val="30"/>
          <w:szCs w:val="30"/>
        </w:rPr>
      </w:pPr>
      <w:r w:rsidRPr="007F264D">
        <w:rPr>
          <w:rFonts w:ascii="仿宋" w:eastAsia="仿宋" w:hAnsi="仿宋" w:hint="eastAsia"/>
          <w:sz w:val="30"/>
          <w:szCs w:val="30"/>
        </w:rPr>
        <w:t>5、年度政府采购支出决算情况：</w:t>
      </w:r>
    </w:p>
    <w:p w:rsidR="007F264D" w:rsidRPr="007F264D" w:rsidRDefault="007F264D" w:rsidP="007F264D">
      <w:pPr>
        <w:ind w:firstLineChars="200" w:firstLine="600"/>
        <w:rPr>
          <w:rFonts w:ascii="仿宋" w:eastAsia="仿宋" w:hAnsi="仿宋"/>
          <w:sz w:val="30"/>
          <w:szCs w:val="30"/>
        </w:rPr>
      </w:pPr>
      <w:r w:rsidRPr="007F264D">
        <w:rPr>
          <w:rFonts w:ascii="仿宋" w:eastAsia="仿宋" w:hAnsi="仿宋" w:hint="eastAsia"/>
          <w:sz w:val="30"/>
          <w:szCs w:val="30"/>
        </w:rPr>
        <w:t>2016年度政府采购支出合计</w:t>
      </w:r>
      <w:r w:rsidR="00510913">
        <w:rPr>
          <w:rFonts w:ascii="仿宋" w:eastAsia="仿宋" w:hAnsi="仿宋" w:hint="eastAsia"/>
          <w:sz w:val="30"/>
          <w:szCs w:val="30"/>
        </w:rPr>
        <w:t>130.078</w:t>
      </w:r>
      <w:r w:rsidRPr="007F264D">
        <w:rPr>
          <w:rFonts w:ascii="仿宋" w:eastAsia="仿宋" w:hAnsi="仿宋" w:hint="eastAsia"/>
          <w:sz w:val="30"/>
          <w:szCs w:val="30"/>
        </w:rPr>
        <w:t>万元。其中：货物</w:t>
      </w:r>
      <w:r w:rsidR="00510913">
        <w:rPr>
          <w:rFonts w:ascii="仿宋" w:eastAsia="仿宋" w:hAnsi="仿宋" w:hint="eastAsia"/>
          <w:sz w:val="30"/>
          <w:szCs w:val="30"/>
        </w:rPr>
        <w:t>20.078</w:t>
      </w:r>
      <w:r w:rsidRPr="007F264D">
        <w:rPr>
          <w:rFonts w:ascii="仿宋" w:eastAsia="仿宋" w:hAnsi="仿宋" w:hint="eastAsia"/>
          <w:sz w:val="30"/>
          <w:szCs w:val="30"/>
        </w:rPr>
        <w:t>万元。</w:t>
      </w:r>
    </w:p>
    <w:p w:rsidR="007F264D" w:rsidRPr="007F264D" w:rsidRDefault="007F264D" w:rsidP="007F264D">
      <w:pPr>
        <w:rPr>
          <w:rFonts w:ascii="仿宋" w:eastAsia="仿宋" w:hAnsi="仿宋"/>
          <w:sz w:val="30"/>
          <w:szCs w:val="30"/>
        </w:rPr>
      </w:pPr>
      <w:r w:rsidRPr="007F264D">
        <w:rPr>
          <w:rFonts w:ascii="仿宋" w:eastAsia="仿宋" w:hAnsi="仿宋" w:hint="eastAsia"/>
          <w:sz w:val="30"/>
          <w:szCs w:val="30"/>
        </w:rPr>
        <w:t>6、政府性基金预算财政拨款支出决算情况：</w:t>
      </w:r>
    </w:p>
    <w:p w:rsidR="007F264D" w:rsidRPr="007F264D" w:rsidRDefault="007F264D" w:rsidP="007F264D">
      <w:pPr>
        <w:ind w:firstLineChars="200" w:firstLine="600"/>
        <w:rPr>
          <w:rFonts w:ascii="仿宋" w:eastAsia="仿宋" w:hAnsi="仿宋"/>
          <w:sz w:val="30"/>
          <w:szCs w:val="30"/>
        </w:rPr>
      </w:pPr>
      <w:r w:rsidRPr="007F264D">
        <w:rPr>
          <w:rFonts w:ascii="仿宋" w:eastAsia="仿宋" w:hAnsi="仿宋" w:hint="eastAsia"/>
          <w:sz w:val="30"/>
          <w:szCs w:val="30"/>
        </w:rPr>
        <w:t>2016年度政府性基金预算财政拨款支出为200万元。</w:t>
      </w:r>
      <w:r w:rsidR="009E181F">
        <w:rPr>
          <w:rFonts w:ascii="仿宋" w:eastAsia="仿宋" w:hAnsi="仿宋" w:hint="eastAsia"/>
          <w:sz w:val="30"/>
          <w:szCs w:val="30"/>
        </w:rPr>
        <w:t xml:space="preserve"> </w:t>
      </w:r>
    </w:p>
    <w:p w:rsidR="007F264D" w:rsidRPr="007F264D" w:rsidRDefault="007F264D" w:rsidP="007F264D">
      <w:pPr>
        <w:rPr>
          <w:rFonts w:ascii="仿宋" w:eastAsia="仿宋" w:hAnsi="仿宋"/>
          <w:sz w:val="30"/>
          <w:szCs w:val="30"/>
        </w:rPr>
      </w:pPr>
      <w:r w:rsidRPr="007F264D">
        <w:rPr>
          <w:rFonts w:ascii="仿宋" w:eastAsia="仿宋" w:hAnsi="仿宋" w:hint="eastAsia"/>
          <w:sz w:val="30"/>
          <w:szCs w:val="30"/>
        </w:rPr>
        <w:t>三、进行部门决算分析：</w:t>
      </w:r>
    </w:p>
    <w:p w:rsidR="007F264D" w:rsidRPr="007F264D" w:rsidRDefault="007F264D" w:rsidP="007F264D">
      <w:pPr>
        <w:ind w:firstLineChars="200" w:firstLine="600"/>
        <w:rPr>
          <w:rFonts w:ascii="仿宋" w:eastAsia="仿宋" w:hAnsi="仿宋"/>
          <w:sz w:val="30"/>
          <w:szCs w:val="30"/>
        </w:rPr>
      </w:pPr>
      <w:r w:rsidRPr="007F264D">
        <w:rPr>
          <w:rFonts w:ascii="仿宋" w:eastAsia="仿宋" w:hAnsi="仿宋" w:hint="eastAsia"/>
          <w:sz w:val="30"/>
          <w:szCs w:val="30"/>
        </w:rPr>
        <w:t>1、2016年度项目资金结余16089.48万元，涉及到将近16个项目未完成项目验收及资金拨付。主要原因是项目年度未完工。</w:t>
      </w:r>
    </w:p>
    <w:p w:rsidR="007F264D" w:rsidRPr="007F264D" w:rsidRDefault="007F264D" w:rsidP="007F264D">
      <w:pPr>
        <w:ind w:firstLineChars="200" w:firstLine="600"/>
        <w:rPr>
          <w:rFonts w:ascii="仿宋" w:eastAsia="仿宋" w:hAnsi="仿宋"/>
          <w:sz w:val="30"/>
          <w:szCs w:val="30"/>
        </w:rPr>
      </w:pPr>
      <w:r w:rsidRPr="007F264D">
        <w:rPr>
          <w:rFonts w:ascii="仿宋" w:eastAsia="仿宋" w:hAnsi="仿宋" w:hint="eastAsia"/>
          <w:sz w:val="30"/>
          <w:szCs w:val="30"/>
        </w:rPr>
        <w:t>2、“三公”经费：2016年度三公经费支出113.32万元，其中：公务用车运行维护费44.98万元，公务接待费68.34万元。</w:t>
      </w:r>
      <w:r w:rsidR="00C95422">
        <w:rPr>
          <w:rFonts w:ascii="仿宋" w:eastAsia="仿宋" w:hAnsi="仿宋" w:hint="eastAsia"/>
          <w:sz w:val="30"/>
          <w:szCs w:val="30"/>
        </w:rPr>
        <w:t xml:space="preserve">接待来客来访共计561批次，人数5960人。  </w:t>
      </w:r>
      <w:r w:rsidRPr="007F264D">
        <w:rPr>
          <w:rFonts w:ascii="仿宋" w:eastAsia="仿宋" w:hAnsi="仿宋" w:hint="eastAsia"/>
          <w:sz w:val="30"/>
          <w:szCs w:val="30"/>
        </w:rPr>
        <w:t>较2015年“三公”经费决算数128.94万元略为减少，公务接待费用68.34万元略</w:t>
      </w:r>
      <w:r w:rsidRPr="007F264D">
        <w:rPr>
          <w:rFonts w:ascii="仿宋" w:eastAsia="仿宋" w:hAnsi="仿宋" w:hint="eastAsia"/>
          <w:sz w:val="30"/>
          <w:szCs w:val="30"/>
        </w:rPr>
        <w:lastRenderedPageBreak/>
        <w:t>减，主要原因是办事人员工作餐减少。</w:t>
      </w:r>
      <w:r w:rsidR="00E129B3">
        <w:rPr>
          <w:rFonts w:ascii="仿宋" w:eastAsia="仿宋" w:hAnsi="仿宋" w:hint="eastAsia"/>
          <w:sz w:val="30"/>
          <w:szCs w:val="30"/>
        </w:rPr>
        <w:t>年终公车保有量4台，</w:t>
      </w:r>
      <w:r w:rsidRPr="007F264D">
        <w:rPr>
          <w:rFonts w:ascii="仿宋" w:eastAsia="仿宋" w:hAnsi="仿宋" w:hint="eastAsia"/>
          <w:sz w:val="30"/>
          <w:szCs w:val="30"/>
        </w:rPr>
        <w:t>公务用车维护费44.98万元略减，主要原因是公车使用减少。</w:t>
      </w:r>
    </w:p>
    <w:p w:rsidR="007F264D" w:rsidRPr="007F264D" w:rsidRDefault="009F1875" w:rsidP="007F264D">
      <w:pPr>
        <w:rPr>
          <w:rFonts w:ascii="仿宋" w:eastAsia="仿宋" w:hAnsi="仿宋"/>
          <w:sz w:val="30"/>
          <w:szCs w:val="30"/>
        </w:rPr>
      </w:pPr>
      <w:r>
        <w:rPr>
          <w:rFonts w:ascii="仿宋" w:eastAsia="仿宋" w:hAnsi="仿宋" w:hint="eastAsia"/>
          <w:sz w:val="30"/>
          <w:szCs w:val="30"/>
        </w:rPr>
        <w:t>四、</w:t>
      </w:r>
      <w:r w:rsidR="007F264D" w:rsidRPr="007F264D">
        <w:rPr>
          <w:rFonts w:ascii="仿宋" w:eastAsia="仿宋" w:hAnsi="仿宋" w:hint="eastAsia"/>
          <w:sz w:val="30"/>
          <w:szCs w:val="30"/>
        </w:rPr>
        <w:t>预算绩效情况的说明。</w:t>
      </w:r>
    </w:p>
    <w:p w:rsidR="007F264D" w:rsidRPr="007F264D" w:rsidRDefault="007F264D" w:rsidP="007F264D">
      <w:pPr>
        <w:ind w:firstLineChars="200" w:firstLine="600"/>
        <w:rPr>
          <w:rFonts w:ascii="仿宋" w:eastAsia="仿宋" w:hAnsi="仿宋"/>
          <w:sz w:val="30"/>
          <w:szCs w:val="30"/>
        </w:rPr>
      </w:pPr>
      <w:r w:rsidRPr="007F264D">
        <w:rPr>
          <w:rFonts w:ascii="仿宋" w:eastAsia="仿宋" w:hAnsi="仿宋" w:hint="eastAsia"/>
          <w:sz w:val="30"/>
          <w:szCs w:val="30"/>
        </w:rPr>
        <w:t>进一步做好此次绩效评价工作，在绩效自评工作的基础上，我局成立了绩效评价小组来共同完成此项工作。</w:t>
      </w:r>
    </w:p>
    <w:p w:rsidR="007F264D" w:rsidRPr="007F264D" w:rsidRDefault="007F264D" w:rsidP="00140654">
      <w:pPr>
        <w:ind w:firstLineChars="200" w:firstLine="600"/>
        <w:rPr>
          <w:rFonts w:ascii="仿宋" w:eastAsia="仿宋" w:hAnsi="仿宋"/>
          <w:sz w:val="30"/>
          <w:szCs w:val="30"/>
        </w:rPr>
      </w:pPr>
      <w:r w:rsidRPr="007F264D">
        <w:rPr>
          <w:rFonts w:ascii="仿宋" w:eastAsia="仿宋" w:hAnsi="仿宋" w:hint="eastAsia"/>
          <w:sz w:val="30"/>
          <w:szCs w:val="30"/>
        </w:rPr>
        <w:t>通过对基层单位提供的项目资料进行分类整理、审查和分析，并亲自到现场进行实地勘察、询问、核实，有效地保证了绩效评价结果的客观性、准确性和可参考性。对于没有及时完成预期设定绩效指标的，及时调整工作方向和工作方法，确保绩效指标的顺利实施。</w:t>
      </w:r>
    </w:p>
    <w:p w:rsidR="00CC01CC" w:rsidRPr="007F264D" w:rsidRDefault="007F264D" w:rsidP="00140654">
      <w:pPr>
        <w:ind w:firstLineChars="200" w:firstLine="600"/>
        <w:rPr>
          <w:rFonts w:ascii="仿宋" w:eastAsia="仿宋" w:hAnsi="仿宋"/>
          <w:sz w:val="30"/>
          <w:szCs w:val="30"/>
        </w:rPr>
      </w:pPr>
      <w:r w:rsidRPr="007F264D">
        <w:rPr>
          <w:rFonts w:ascii="仿宋" w:eastAsia="仿宋" w:hAnsi="仿宋" w:hint="eastAsia"/>
          <w:sz w:val="30"/>
          <w:szCs w:val="30"/>
        </w:rPr>
        <w:t>通过项目的绩效评价工作，找出了项目管理过程中影响有效目标实现的一些缺陷和问题，并总结出了一些项目绩效管理的经验，对于以后相似项目的管理工作起到了一定的借鉴作用。同时，绩效评价工作对于安排以后资金预算，考核项目管理效果也将起到一定作用。</w:t>
      </w:r>
    </w:p>
    <w:sectPr w:rsidR="00CC01CC" w:rsidRPr="007F264D" w:rsidSect="009068C2">
      <w:footerReference w:type="even" r:id="rId7"/>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434" w:rsidRDefault="001E6434">
      <w:r>
        <w:separator/>
      </w:r>
    </w:p>
  </w:endnote>
  <w:endnote w:type="continuationSeparator" w:id="0">
    <w:p w:rsidR="001E6434" w:rsidRDefault="001E64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6C0" w:rsidRDefault="007E38A8">
    <w:pPr>
      <w:pStyle w:val="a8"/>
      <w:framePr w:wrap="around" w:vAnchor="text" w:hAnchor="margin" w:xAlign="center" w:y="1"/>
      <w:rPr>
        <w:rStyle w:val="a3"/>
      </w:rPr>
    </w:pPr>
    <w:r>
      <w:fldChar w:fldCharType="begin"/>
    </w:r>
    <w:r w:rsidR="00A946C0">
      <w:rPr>
        <w:rStyle w:val="a3"/>
      </w:rPr>
      <w:instrText xml:space="preserve">PAGE  </w:instrText>
    </w:r>
    <w:r>
      <w:fldChar w:fldCharType="end"/>
    </w:r>
  </w:p>
  <w:p w:rsidR="00A946C0" w:rsidRDefault="00A946C0">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46C0" w:rsidRDefault="007E38A8">
    <w:pPr>
      <w:pStyle w:val="a8"/>
      <w:framePr w:wrap="around" w:vAnchor="text" w:hAnchor="margin" w:xAlign="center" w:y="1"/>
      <w:rPr>
        <w:rStyle w:val="a3"/>
      </w:rPr>
    </w:pPr>
    <w:r>
      <w:fldChar w:fldCharType="begin"/>
    </w:r>
    <w:r w:rsidR="00A946C0">
      <w:rPr>
        <w:rStyle w:val="a3"/>
      </w:rPr>
      <w:instrText xml:space="preserve">PAGE  </w:instrText>
    </w:r>
    <w:r>
      <w:fldChar w:fldCharType="separate"/>
    </w:r>
    <w:r w:rsidR="00740FED">
      <w:rPr>
        <w:rStyle w:val="a3"/>
        <w:noProof/>
      </w:rPr>
      <w:t>1</w:t>
    </w:r>
    <w:r>
      <w:fldChar w:fldCharType="end"/>
    </w:r>
  </w:p>
  <w:p w:rsidR="00A946C0" w:rsidRDefault="00A946C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434" w:rsidRDefault="001E6434">
      <w:r>
        <w:separator/>
      </w:r>
    </w:p>
  </w:footnote>
  <w:footnote w:type="continuationSeparator" w:id="0">
    <w:p w:rsidR="001E6434" w:rsidRDefault="001E64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813B41"/>
    <w:multiLevelType w:val="hybridMultilevel"/>
    <w:tmpl w:val="F79600F8"/>
    <w:lvl w:ilvl="0" w:tplc="DA68771C">
      <w:start w:val="1"/>
      <w:numFmt w:val="japaneseCounting"/>
      <w:lvlText w:val="%1、"/>
      <w:lvlJc w:val="left"/>
      <w:pPr>
        <w:tabs>
          <w:tab w:val="num" w:pos="1347"/>
        </w:tabs>
        <w:ind w:left="1347" w:hanging="720"/>
      </w:pPr>
      <w:rPr>
        <w:rFonts w:hint="default"/>
      </w:rPr>
    </w:lvl>
    <w:lvl w:ilvl="1" w:tplc="04090019" w:tentative="1">
      <w:start w:val="1"/>
      <w:numFmt w:val="lowerLetter"/>
      <w:lvlText w:val="%2)"/>
      <w:lvlJc w:val="left"/>
      <w:pPr>
        <w:tabs>
          <w:tab w:val="num" w:pos="1467"/>
        </w:tabs>
        <w:ind w:left="1467" w:hanging="420"/>
      </w:pPr>
    </w:lvl>
    <w:lvl w:ilvl="2" w:tplc="0409001B" w:tentative="1">
      <w:start w:val="1"/>
      <w:numFmt w:val="lowerRoman"/>
      <w:lvlText w:val="%3."/>
      <w:lvlJc w:val="right"/>
      <w:pPr>
        <w:tabs>
          <w:tab w:val="num" w:pos="1887"/>
        </w:tabs>
        <w:ind w:left="1887" w:hanging="420"/>
      </w:pPr>
    </w:lvl>
    <w:lvl w:ilvl="3" w:tplc="0409000F" w:tentative="1">
      <w:start w:val="1"/>
      <w:numFmt w:val="decimal"/>
      <w:lvlText w:val="%4."/>
      <w:lvlJc w:val="left"/>
      <w:pPr>
        <w:tabs>
          <w:tab w:val="num" w:pos="2307"/>
        </w:tabs>
        <w:ind w:left="2307" w:hanging="420"/>
      </w:pPr>
    </w:lvl>
    <w:lvl w:ilvl="4" w:tplc="04090019" w:tentative="1">
      <w:start w:val="1"/>
      <w:numFmt w:val="lowerLetter"/>
      <w:lvlText w:val="%5)"/>
      <w:lvlJc w:val="left"/>
      <w:pPr>
        <w:tabs>
          <w:tab w:val="num" w:pos="2727"/>
        </w:tabs>
        <w:ind w:left="2727" w:hanging="420"/>
      </w:pPr>
    </w:lvl>
    <w:lvl w:ilvl="5" w:tplc="0409001B" w:tentative="1">
      <w:start w:val="1"/>
      <w:numFmt w:val="lowerRoman"/>
      <w:lvlText w:val="%6."/>
      <w:lvlJc w:val="right"/>
      <w:pPr>
        <w:tabs>
          <w:tab w:val="num" w:pos="3147"/>
        </w:tabs>
        <w:ind w:left="3147" w:hanging="420"/>
      </w:pPr>
    </w:lvl>
    <w:lvl w:ilvl="6" w:tplc="0409000F" w:tentative="1">
      <w:start w:val="1"/>
      <w:numFmt w:val="decimal"/>
      <w:lvlText w:val="%7."/>
      <w:lvlJc w:val="left"/>
      <w:pPr>
        <w:tabs>
          <w:tab w:val="num" w:pos="3567"/>
        </w:tabs>
        <w:ind w:left="3567" w:hanging="420"/>
      </w:pPr>
    </w:lvl>
    <w:lvl w:ilvl="7" w:tplc="04090019" w:tentative="1">
      <w:start w:val="1"/>
      <w:numFmt w:val="lowerLetter"/>
      <w:lvlText w:val="%8)"/>
      <w:lvlJc w:val="left"/>
      <w:pPr>
        <w:tabs>
          <w:tab w:val="num" w:pos="3987"/>
        </w:tabs>
        <w:ind w:left="3987" w:hanging="420"/>
      </w:pPr>
    </w:lvl>
    <w:lvl w:ilvl="8" w:tplc="0409001B" w:tentative="1">
      <w:start w:val="1"/>
      <w:numFmt w:val="lowerRoman"/>
      <w:lvlText w:val="%9."/>
      <w:lvlJc w:val="right"/>
      <w:pPr>
        <w:tabs>
          <w:tab w:val="num" w:pos="4407"/>
        </w:tabs>
        <w:ind w:left="4407" w:hanging="420"/>
      </w:pPr>
    </w:lvl>
  </w:abstractNum>
  <w:abstractNum w:abstractNumId="1">
    <w:nsid w:val="43931C07"/>
    <w:multiLevelType w:val="hybridMultilevel"/>
    <w:tmpl w:val="75164A7A"/>
    <w:lvl w:ilvl="0" w:tplc="8FB6E2A8">
      <w:start w:val="1"/>
      <w:numFmt w:val="japaneseCounting"/>
      <w:lvlText w:val="%1、"/>
      <w:lvlJc w:val="left"/>
      <w:pPr>
        <w:tabs>
          <w:tab w:val="num" w:pos="1347"/>
        </w:tabs>
        <w:ind w:left="1347" w:hanging="720"/>
      </w:pPr>
      <w:rPr>
        <w:rFonts w:ascii="黑体" w:eastAsia="黑体" w:hint="eastAsia"/>
      </w:rPr>
    </w:lvl>
    <w:lvl w:ilvl="1" w:tplc="04090019" w:tentative="1">
      <w:start w:val="1"/>
      <w:numFmt w:val="lowerLetter"/>
      <w:lvlText w:val="%2)"/>
      <w:lvlJc w:val="left"/>
      <w:pPr>
        <w:tabs>
          <w:tab w:val="num" w:pos="1467"/>
        </w:tabs>
        <w:ind w:left="1467" w:hanging="420"/>
      </w:pPr>
    </w:lvl>
    <w:lvl w:ilvl="2" w:tplc="0409001B" w:tentative="1">
      <w:start w:val="1"/>
      <w:numFmt w:val="lowerRoman"/>
      <w:lvlText w:val="%3."/>
      <w:lvlJc w:val="right"/>
      <w:pPr>
        <w:tabs>
          <w:tab w:val="num" w:pos="1887"/>
        </w:tabs>
        <w:ind w:left="1887" w:hanging="420"/>
      </w:pPr>
    </w:lvl>
    <w:lvl w:ilvl="3" w:tplc="0409000F" w:tentative="1">
      <w:start w:val="1"/>
      <w:numFmt w:val="decimal"/>
      <w:lvlText w:val="%4."/>
      <w:lvlJc w:val="left"/>
      <w:pPr>
        <w:tabs>
          <w:tab w:val="num" w:pos="2307"/>
        </w:tabs>
        <w:ind w:left="2307" w:hanging="420"/>
      </w:pPr>
    </w:lvl>
    <w:lvl w:ilvl="4" w:tplc="04090019" w:tentative="1">
      <w:start w:val="1"/>
      <w:numFmt w:val="lowerLetter"/>
      <w:lvlText w:val="%5)"/>
      <w:lvlJc w:val="left"/>
      <w:pPr>
        <w:tabs>
          <w:tab w:val="num" w:pos="2727"/>
        </w:tabs>
        <w:ind w:left="2727" w:hanging="420"/>
      </w:pPr>
    </w:lvl>
    <w:lvl w:ilvl="5" w:tplc="0409001B" w:tentative="1">
      <w:start w:val="1"/>
      <w:numFmt w:val="lowerRoman"/>
      <w:lvlText w:val="%6."/>
      <w:lvlJc w:val="right"/>
      <w:pPr>
        <w:tabs>
          <w:tab w:val="num" w:pos="3147"/>
        </w:tabs>
        <w:ind w:left="3147" w:hanging="420"/>
      </w:pPr>
    </w:lvl>
    <w:lvl w:ilvl="6" w:tplc="0409000F" w:tentative="1">
      <w:start w:val="1"/>
      <w:numFmt w:val="decimal"/>
      <w:lvlText w:val="%7."/>
      <w:lvlJc w:val="left"/>
      <w:pPr>
        <w:tabs>
          <w:tab w:val="num" w:pos="3567"/>
        </w:tabs>
        <w:ind w:left="3567" w:hanging="420"/>
      </w:pPr>
    </w:lvl>
    <w:lvl w:ilvl="7" w:tplc="04090019" w:tentative="1">
      <w:start w:val="1"/>
      <w:numFmt w:val="lowerLetter"/>
      <w:lvlText w:val="%8)"/>
      <w:lvlJc w:val="left"/>
      <w:pPr>
        <w:tabs>
          <w:tab w:val="num" w:pos="3987"/>
        </w:tabs>
        <w:ind w:left="3987" w:hanging="420"/>
      </w:pPr>
    </w:lvl>
    <w:lvl w:ilvl="8" w:tplc="0409001B" w:tentative="1">
      <w:start w:val="1"/>
      <w:numFmt w:val="lowerRoman"/>
      <w:lvlText w:val="%9."/>
      <w:lvlJc w:val="right"/>
      <w:pPr>
        <w:tabs>
          <w:tab w:val="num" w:pos="4407"/>
        </w:tabs>
        <w:ind w:left="4407" w:hanging="420"/>
      </w:pPr>
    </w:lvl>
  </w:abstractNum>
  <w:abstractNum w:abstractNumId="2">
    <w:nsid w:val="5A885EAC"/>
    <w:multiLevelType w:val="hybridMultilevel"/>
    <w:tmpl w:val="63401886"/>
    <w:lvl w:ilvl="0" w:tplc="07D4A75E">
      <w:start w:val="1"/>
      <w:numFmt w:val="japaneseCounting"/>
      <w:lvlText w:val="%1、"/>
      <w:lvlJc w:val="left"/>
      <w:pPr>
        <w:ind w:left="1347" w:hanging="720"/>
      </w:pPr>
      <w:rPr>
        <w:rFonts w:hint="default"/>
      </w:rPr>
    </w:lvl>
    <w:lvl w:ilvl="1" w:tplc="04090019" w:tentative="1">
      <w:start w:val="1"/>
      <w:numFmt w:val="lowerLetter"/>
      <w:lvlText w:val="%2)"/>
      <w:lvlJc w:val="left"/>
      <w:pPr>
        <w:ind w:left="1467" w:hanging="420"/>
      </w:pPr>
    </w:lvl>
    <w:lvl w:ilvl="2" w:tplc="0409001B" w:tentative="1">
      <w:start w:val="1"/>
      <w:numFmt w:val="lowerRoman"/>
      <w:lvlText w:val="%3."/>
      <w:lvlJc w:val="right"/>
      <w:pPr>
        <w:ind w:left="1887" w:hanging="420"/>
      </w:pPr>
    </w:lvl>
    <w:lvl w:ilvl="3" w:tplc="0409000F" w:tentative="1">
      <w:start w:val="1"/>
      <w:numFmt w:val="decimal"/>
      <w:lvlText w:val="%4."/>
      <w:lvlJc w:val="left"/>
      <w:pPr>
        <w:ind w:left="2307" w:hanging="420"/>
      </w:pPr>
    </w:lvl>
    <w:lvl w:ilvl="4" w:tplc="04090019" w:tentative="1">
      <w:start w:val="1"/>
      <w:numFmt w:val="lowerLetter"/>
      <w:lvlText w:val="%5)"/>
      <w:lvlJc w:val="left"/>
      <w:pPr>
        <w:ind w:left="2727" w:hanging="420"/>
      </w:pPr>
    </w:lvl>
    <w:lvl w:ilvl="5" w:tplc="0409001B" w:tentative="1">
      <w:start w:val="1"/>
      <w:numFmt w:val="lowerRoman"/>
      <w:lvlText w:val="%6."/>
      <w:lvlJc w:val="right"/>
      <w:pPr>
        <w:ind w:left="3147" w:hanging="420"/>
      </w:pPr>
    </w:lvl>
    <w:lvl w:ilvl="6" w:tplc="0409000F" w:tentative="1">
      <w:start w:val="1"/>
      <w:numFmt w:val="decimal"/>
      <w:lvlText w:val="%7."/>
      <w:lvlJc w:val="left"/>
      <w:pPr>
        <w:ind w:left="3567" w:hanging="420"/>
      </w:pPr>
    </w:lvl>
    <w:lvl w:ilvl="7" w:tplc="04090019" w:tentative="1">
      <w:start w:val="1"/>
      <w:numFmt w:val="lowerLetter"/>
      <w:lvlText w:val="%8)"/>
      <w:lvlJc w:val="left"/>
      <w:pPr>
        <w:ind w:left="3987" w:hanging="420"/>
      </w:pPr>
    </w:lvl>
    <w:lvl w:ilvl="8" w:tplc="0409001B" w:tentative="1">
      <w:start w:val="1"/>
      <w:numFmt w:val="lowerRoman"/>
      <w:lvlText w:val="%9."/>
      <w:lvlJc w:val="right"/>
      <w:pPr>
        <w:ind w:left="4407"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409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E6E3D"/>
    <w:rsid w:val="00003FF0"/>
    <w:rsid w:val="00007274"/>
    <w:rsid w:val="00022201"/>
    <w:rsid w:val="00062095"/>
    <w:rsid w:val="000709B8"/>
    <w:rsid w:val="00090B00"/>
    <w:rsid w:val="000E0232"/>
    <w:rsid w:val="000F0441"/>
    <w:rsid w:val="000F3B50"/>
    <w:rsid w:val="00104DB9"/>
    <w:rsid w:val="00116158"/>
    <w:rsid w:val="00121122"/>
    <w:rsid w:val="00124D92"/>
    <w:rsid w:val="00137D57"/>
    <w:rsid w:val="00140654"/>
    <w:rsid w:val="00156AC4"/>
    <w:rsid w:val="00184D55"/>
    <w:rsid w:val="00193D68"/>
    <w:rsid w:val="001B5C4E"/>
    <w:rsid w:val="001D2A71"/>
    <w:rsid w:val="001E6434"/>
    <w:rsid w:val="0021282E"/>
    <w:rsid w:val="00214A87"/>
    <w:rsid w:val="00215BAE"/>
    <w:rsid w:val="0025573F"/>
    <w:rsid w:val="00294193"/>
    <w:rsid w:val="00294355"/>
    <w:rsid w:val="002B5228"/>
    <w:rsid w:val="002B64BD"/>
    <w:rsid w:val="002B67E3"/>
    <w:rsid w:val="002D47B8"/>
    <w:rsid w:val="002D62D3"/>
    <w:rsid w:val="002F5E6C"/>
    <w:rsid w:val="003438AC"/>
    <w:rsid w:val="0035762A"/>
    <w:rsid w:val="00364D29"/>
    <w:rsid w:val="003917E2"/>
    <w:rsid w:val="003C6E78"/>
    <w:rsid w:val="003D35E2"/>
    <w:rsid w:val="003D6790"/>
    <w:rsid w:val="003E6B47"/>
    <w:rsid w:val="00421960"/>
    <w:rsid w:val="00424D73"/>
    <w:rsid w:val="00430997"/>
    <w:rsid w:val="00454B4F"/>
    <w:rsid w:val="004A160A"/>
    <w:rsid w:val="004A7166"/>
    <w:rsid w:val="004A7D17"/>
    <w:rsid w:val="004B6503"/>
    <w:rsid w:val="004B76D3"/>
    <w:rsid w:val="004C6E2E"/>
    <w:rsid w:val="004D1F76"/>
    <w:rsid w:val="004E5C85"/>
    <w:rsid w:val="004E6E3D"/>
    <w:rsid w:val="004F2CE2"/>
    <w:rsid w:val="00500919"/>
    <w:rsid w:val="00510913"/>
    <w:rsid w:val="005160F5"/>
    <w:rsid w:val="00517B1F"/>
    <w:rsid w:val="00571804"/>
    <w:rsid w:val="0057250C"/>
    <w:rsid w:val="005939DB"/>
    <w:rsid w:val="005A7972"/>
    <w:rsid w:val="005C6F08"/>
    <w:rsid w:val="005E154D"/>
    <w:rsid w:val="005E66E5"/>
    <w:rsid w:val="005F66CC"/>
    <w:rsid w:val="00632918"/>
    <w:rsid w:val="00654CE6"/>
    <w:rsid w:val="006A1B2F"/>
    <w:rsid w:val="006A697F"/>
    <w:rsid w:val="006B2772"/>
    <w:rsid w:val="006C72B9"/>
    <w:rsid w:val="006D7FA4"/>
    <w:rsid w:val="006E7538"/>
    <w:rsid w:val="006E7676"/>
    <w:rsid w:val="006F1C72"/>
    <w:rsid w:val="00716FEE"/>
    <w:rsid w:val="007345A7"/>
    <w:rsid w:val="00737103"/>
    <w:rsid w:val="00740FED"/>
    <w:rsid w:val="00751DC4"/>
    <w:rsid w:val="00757A03"/>
    <w:rsid w:val="00760D46"/>
    <w:rsid w:val="00760D9F"/>
    <w:rsid w:val="007A370F"/>
    <w:rsid w:val="007A5967"/>
    <w:rsid w:val="007B44B2"/>
    <w:rsid w:val="007D0F29"/>
    <w:rsid w:val="007D2991"/>
    <w:rsid w:val="007D4FDE"/>
    <w:rsid w:val="007D7DAE"/>
    <w:rsid w:val="007E38A8"/>
    <w:rsid w:val="007F264D"/>
    <w:rsid w:val="00812580"/>
    <w:rsid w:val="0083718D"/>
    <w:rsid w:val="00861771"/>
    <w:rsid w:val="008673D3"/>
    <w:rsid w:val="00870838"/>
    <w:rsid w:val="008743EF"/>
    <w:rsid w:val="0088383A"/>
    <w:rsid w:val="00886732"/>
    <w:rsid w:val="00886904"/>
    <w:rsid w:val="00897575"/>
    <w:rsid w:val="008B697C"/>
    <w:rsid w:val="008E178D"/>
    <w:rsid w:val="008F1AE1"/>
    <w:rsid w:val="009068C2"/>
    <w:rsid w:val="0091240B"/>
    <w:rsid w:val="00924370"/>
    <w:rsid w:val="009405B3"/>
    <w:rsid w:val="00986AB1"/>
    <w:rsid w:val="009A3E4F"/>
    <w:rsid w:val="009B451D"/>
    <w:rsid w:val="009E181F"/>
    <w:rsid w:val="009F1875"/>
    <w:rsid w:val="00A32DEB"/>
    <w:rsid w:val="00A33539"/>
    <w:rsid w:val="00A5177D"/>
    <w:rsid w:val="00A51D80"/>
    <w:rsid w:val="00A946C0"/>
    <w:rsid w:val="00AA57A2"/>
    <w:rsid w:val="00AF456E"/>
    <w:rsid w:val="00B02FFD"/>
    <w:rsid w:val="00B221E9"/>
    <w:rsid w:val="00B309EE"/>
    <w:rsid w:val="00B627C0"/>
    <w:rsid w:val="00B72CE4"/>
    <w:rsid w:val="00B75DAB"/>
    <w:rsid w:val="00B8521E"/>
    <w:rsid w:val="00BA5A3B"/>
    <w:rsid w:val="00BE1761"/>
    <w:rsid w:val="00BE74BC"/>
    <w:rsid w:val="00C025B3"/>
    <w:rsid w:val="00C12A32"/>
    <w:rsid w:val="00C13697"/>
    <w:rsid w:val="00C150E0"/>
    <w:rsid w:val="00C55CBA"/>
    <w:rsid w:val="00C63598"/>
    <w:rsid w:val="00C6753F"/>
    <w:rsid w:val="00C779BE"/>
    <w:rsid w:val="00C824FE"/>
    <w:rsid w:val="00C91C64"/>
    <w:rsid w:val="00C95422"/>
    <w:rsid w:val="00CA3F6C"/>
    <w:rsid w:val="00CB31EE"/>
    <w:rsid w:val="00CC01CC"/>
    <w:rsid w:val="00CC038C"/>
    <w:rsid w:val="00CE08D7"/>
    <w:rsid w:val="00D03D92"/>
    <w:rsid w:val="00D15EFE"/>
    <w:rsid w:val="00D33416"/>
    <w:rsid w:val="00D379BE"/>
    <w:rsid w:val="00D61A75"/>
    <w:rsid w:val="00D633B4"/>
    <w:rsid w:val="00D63D04"/>
    <w:rsid w:val="00DE5531"/>
    <w:rsid w:val="00DF17BC"/>
    <w:rsid w:val="00DF4C51"/>
    <w:rsid w:val="00E129B3"/>
    <w:rsid w:val="00E212E2"/>
    <w:rsid w:val="00E25DA7"/>
    <w:rsid w:val="00E60055"/>
    <w:rsid w:val="00E73F02"/>
    <w:rsid w:val="00E850E6"/>
    <w:rsid w:val="00EA6D0B"/>
    <w:rsid w:val="00EC226C"/>
    <w:rsid w:val="00EC5E32"/>
    <w:rsid w:val="00EE2BF8"/>
    <w:rsid w:val="00F03063"/>
    <w:rsid w:val="00F1269C"/>
    <w:rsid w:val="00F153DD"/>
    <w:rsid w:val="00F65C8C"/>
    <w:rsid w:val="00F83F91"/>
    <w:rsid w:val="00F842F4"/>
    <w:rsid w:val="00FB5D5C"/>
    <w:rsid w:val="00FE49BB"/>
    <w:rsid w:val="00FE6BF9"/>
    <w:rsid w:val="058C13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68C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9068C2"/>
  </w:style>
  <w:style w:type="character" w:styleId="a4">
    <w:name w:val="Strong"/>
    <w:qFormat/>
    <w:rsid w:val="009068C2"/>
    <w:rPr>
      <w:b/>
      <w:bCs/>
    </w:rPr>
  </w:style>
  <w:style w:type="character" w:customStyle="1" w:styleId="Char">
    <w:name w:val="批注框文本 Char"/>
    <w:link w:val="a5"/>
    <w:rsid w:val="009068C2"/>
    <w:rPr>
      <w:kern w:val="2"/>
      <w:sz w:val="18"/>
      <w:szCs w:val="18"/>
    </w:rPr>
  </w:style>
  <w:style w:type="character" w:customStyle="1" w:styleId="Char0">
    <w:name w:val="页眉 Char"/>
    <w:link w:val="a6"/>
    <w:rsid w:val="009068C2"/>
    <w:rPr>
      <w:kern w:val="2"/>
      <w:sz w:val="18"/>
      <w:szCs w:val="18"/>
    </w:rPr>
  </w:style>
  <w:style w:type="paragraph" w:styleId="a5">
    <w:name w:val="Balloon Text"/>
    <w:basedOn w:val="a"/>
    <w:link w:val="Char"/>
    <w:rsid w:val="009068C2"/>
    <w:rPr>
      <w:sz w:val="18"/>
      <w:szCs w:val="18"/>
    </w:rPr>
  </w:style>
  <w:style w:type="paragraph" w:styleId="a6">
    <w:name w:val="header"/>
    <w:basedOn w:val="a"/>
    <w:link w:val="Char0"/>
    <w:rsid w:val="009068C2"/>
    <w:pPr>
      <w:pBdr>
        <w:bottom w:val="single" w:sz="6" w:space="1" w:color="auto"/>
      </w:pBdr>
      <w:tabs>
        <w:tab w:val="center" w:pos="4153"/>
        <w:tab w:val="right" w:pos="8306"/>
      </w:tabs>
      <w:snapToGrid w:val="0"/>
      <w:jc w:val="center"/>
    </w:pPr>
    <w:rPr>
      <w:sz w:val="18"/>
      <w:szCs w:val="18"/>
    </w:rPr>
  </w:style>
  <w:style w:type="paragraph" w:styleId="a7">
    <w:name w:val="Normal (Web)"/>
    <w:basedOn w:val="a"/>
    <w:rsid w:val="009068C2"/>
    <w:pPr>
      <w:widowControl/>
      <w:spacing w:before="100" w:beforeAutospacing="1" w:after="100" w:afterAutospacing="1"/>
      <w:jc w:val="left"/>
    </w:pPr>
    <w:rPr>
      <w:rFonts w:ascii="宋体" w:hAnsi="宋体" w:cs="宋体"/>
      <w:kern w:val="0"/>
      <w:sz w:val="24"/>
    </w:rPr>
  </w:style>
  <w:style w:type="paragraph" w:styleId="a8">
    <w:name w:val="footer"/>
    <w:basedOn w:val="a"/>
    <w:rsid w:val="009068C2"/>
    <w:pPr>
      <w:tabs>
        <w:tab w:val="center" w:pos="4153"/>
        <w:tab w:val="right" w:pos="8306"/>
      </w:tabs>
      <w:snapToGrid w:val="0"/>
      <w:jc w:val="left"/>
    </w:pPr>
    <w:rPr>
      <w:sz w:val="18"/>
      <w:szCs w:val="18"/>
    </w:rPr>
  </w:style>
</w:styles>
</file>

<file path=word/webSettings.xml><?xml version="1.0" encoding="utf-8"?>
<w:webSettings xmlns:r="http://schemas.openxmlformats.org/officeDocument/2006/relationships" xmlns:w="http://schemas.openxmlformats.org/wordprocessingml/2006/main">
  <w:divs>
    <w:div w:id="543250302">
      <w:bodyDiv w:val="1"/>
      <w:marLeft w:val="0"/>
      <w:marRight w:val="0"/>
      <w:marTop w:val="0"/>
      <w:marBottom w:val="0"/>
      <w:divBdr>
        <w:top w:val="none" w:sz="0" w:space="0" w:color="auto"/>
        <w:left w:val="none" w:sz="0" w:space="0" w:color="auto"/>
        <w:bottom w:val="none" w:sz="0" w:space="0" w:color="auto"/>
        <w:right w:val="none" w:sz="0" w:space="0" w:color="auto"/>
      </w:divBdr>
      <w:divsChild>
        <w:div w:id="1556090523">
          <w:marLeft w:val="0"/>
          <w:marRight w:val="0"/>
          <w:marTop w:val="0"/>
          <w:marBottom w:val="0"/>
          <w:divBdr>
            <w:top w:val="none" w:sz="0" w:space="0" w:color="auto"/>
            <w:left w:val="none" w:sz="0" w:space="0" w:color="auto"/>
            <w:bottom w:val="none" w:sz="0" w:space="0" w:color="auto"/>
            <w:right w:val="none" w:sz="0" w:space="0" w:color="auto"/>
          </w:divBdr>
        </w:div>
        <w:div w:id="1760321945">
          <w:marLeft w:val="0"/>
          <w:marRight w:val="0"/>
          <w:marTop w:val="0"/>
          <w:marBottom w:val="0"/>
          <w:divBdr>
            <w:top w:val="none" w:sz="0" w:space="0" w:color="auto"/>
            <w:left w:val="none" w:sz="0" w:space="0" w:color="auto"/>
            <w:bottom w:val="none" w:sz="0" w:space="0" w:color="auto"/>
            <w:right w:val="none" w:sz="0" w:space="0" w:color="auto"/>
          </w:divBdr>
        </w:div>
        <w:div w:id="1189221639">
          <w:marLeft w:val="720"/>
          <w:marRight w:val="0"/>
          <w:marTop w:val="0"/>
          <w:marBottom w:val="0"/>
          <w:divBdr>
            <w:top w:val="none" w:sz="0" w:space="0" w:color="auto"/>
            <w:left w:val="none" w:sz="0" w:space="0" w:color="auto"/>
            <w:bottom w:val="none" w:sz="0" w:space="0" w:color="auto"/>
            <w:right w:val="none" w:sz="0" w:space="0" w:color="auto"/>
          </w:divBdr>
        </w:div>
        <w:div w:id="1124815485">
          <w:marLeft w:val="0"/>
          <w:marRight w:val="0"/>
          <w:marTop w:val="0"/>
          <w:marBottom w:val="0"/>
          <w:divBdr>
            <w:top w:val="none" w:sz="0" w:space="0" w:color="auto"/>
            <w:left w:val="none" w:sz="0" w:space="0" w:color="auto"/>
            <w:bottom w:val="none" w:sz="0" w:space="0" w:color="auto"/>
            <w:right w:val="none" w:sz="0" w:space="0" w:color="auto"/>
          </w:divBdr>
        </w:div>
      </w:divsChild>
    </w:div>
    <w:div w:id="1601454631">
      <w:bodyDiv w:val="1"/>
      <w:marLeft w:val="0"/>
      <w:marRight w:val="0"/>
      <w:marTop w:val="0"/>
      <w:marBottom w:val="0"/>
      <w:divBdr>
        <w:top w:val="none" w:sz="0" w:space="0" w:color="auto"/>
        <w:left w:val="none" w:sz="0" w:space="0" w:color="auto"/>
        <w:bottom w:val="none" w:sz="0" w:space="0" w:color="auto"/>
        <w:right w:val="none" w:sz="0" w:space="0" w:color="auto"/>
      </w:divBdr>
      <w:divsChild>
        <w:div w:id="1207791574">
          <w:marLeft w:val="0"/>
          <w:marRight w:val="0"/>
          <w:marTop w:val="0"/>
          <w:marBottom w:val="0"/>
          <w:divBdr>
            <w:top w:val="none" w:sz="0" w:space="0" w:color="auto"/>
            <w:left w:val="none" w:sz="0" w:space="0" w:color="auto"/>
            <w:bottom w:val="none" w:sz="0" w:space="0" w:color="auto"/>
            <w:right w:val="none" w:sz="0" w:space="0" w:color="auto"/>
          </w:divBdr>
        </w:div>
        <w:div w:id="487944676">
          <w:marLeft w:val="0"/>
          <w:marRight w:val="0"/>
          <w:marTop w:val="0"/>
          <w:marBottom w:val="0"/>
          <w:divBdr>
            <w:top w:val="none" w:sz="0" w:space="0" w:color="auto"/>
            <w:left w:val="none" w:sz="0" w:space="0" w:color="auto"/>
            <w:bottom w:val="none" w:sz="0" w:space="0" w:color="auto"/>
            <w:right w:val="none" w:sz="0" w:space="0" w:color="auto"/>
          </w:divBdr>
        </w:div>
        <w:div w:id="1577784741">
          <w:marLeft w:val="0"/>
          <w:marRight w:val="0"/>
          <w:marTop w:val="0"/>
          <w:marBottom w:val="0"/>
          <w:divBdr>
            <w:top w:val="none" w:sz="0" w:space="0" w:color="auto"/>
            <w:left w:val="none" w:sz="0" w:space="0" w:color="auto"/>
            <w:bottom w:val="none" w:sz="0" w:space="0" w:color="auto"/>
            <w:right w:val="none" w:sz="0" w:space="0" w:color="auto"/>
          </w:divBdr>
        </w:div>
        <w:div w:id="1816951292">
          <w:marLeft w:val="0"/>
          <w:marRight w:val="0"/>
          <w:marTop w:val="0"/>
          <w:marBottom w:val="0"/>
          <w:divBdr>
            <w:top w:val="none" w:sz="0" w:space="0" w:color="auto"/>
            <w:left w:val="none" w:sz="0" w:space="0" w:color="auto"/>
            <w:bottom w:val="none" w:sz="0" w:space="0" w:color="auto"/>
            <w:right w:val="none" w:sz="0" w:space="0" w:color="auto"/>
          </w:divBdr>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4</Pages>
  <Words>269</Words>
  <Characters>1536</Characters>
  <Application>Microsoft Office Word</Application>
  <DocSecurity>0</DocSecurity>
  <PresentationFormat/>
  <Lines>12</Lines>
  <Paragraphs>3</Paragraphs>
  <Slides>0</Slides>
  <Notes>0</Notes>
  <HiddenSlides>0</HiddenSlides>
  <MMClips>0</MMClips>
  <ScaleCrop>false</ScaleCrop>
  <Company>微软中国</Company>
  <LinksUpToDate>false</LinksUpToDate>
  <CharactersWithSpaces>1802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科学技术部2012年部门预算</dc:title>
  <dc:creator>微软用户</dc:creator>
  <cp:lastModifiedBy>Administrator</cp:lastModifiedBy>
  <cp:revision>28</cp:revision>
  <cp:lastPrinted>2017-08-21T07:26:00Z</cp:lastPrinted>
  <dcterms:created xsi:type="dcterms:W3CDTF">2017-08-17T07:34:00Z</dcterms:created>
  <dcterms:modified xsi:type="dcterms:W3CDTF">2017-08-22T01:30:00Z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2052-10.1.0.5850</vt:lpwstr>
  </property>
</Properties>
</file>