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A8" w:rsidRDefault="009A61A8" w:rsidP="0060259E">
      <w:pPr>
        <w:spacing w:line="560" w:lineRule="exact"/>
        <w:rPr>
          <w:rFonts w:eastAsia="仿宋_GB2312"/>
          <w:b/>
          <w:bCs/>
          <w:sz w:val="32"/>
          <w:szCs w:val="32"/>
        </w:rPr>
      </w:pPr>
    </w:p>
    <w:p w:rsidR="009A61A8" w:rsidRDefault="009A61A8" w:rsidP="0060259E">
      <w:pPr>
        <w:spacing w:line="560" w:lineRule="exact"/>
        <w:rPr>
          <w:rFonts w:eastAsia="仿宋_GB2312"/>
          <w:b/>
          <w:bCs/>
          <w:sz w:val="32"/>
          <w:szCs w:val="32"/>
        </w:rPr>
      </w:pPr>
    </w:p>
    <w:p w:rsidR="009A61A8" w:rsidRDefault="009A61A8" w:rsidP="0060259E">
      <w:pPr>
        <w:spacing w:line="560" w:lineRule="exact"/>
        <w:rPr>
          <w:rFonts w:eastAsia="仿宋_GB2312"/>
          <w:b/>
          <w:bCs/>
          <w:sz w:val="32"/>
          <w:szCs w:val="32"/>
        </w:rPr>
      </w:pPr>
    </w:p>
    <w:p w:rsidR="009A61A8" w:rsidRDefault="009A61A8" w:rsidP="0060259E">
      <w:pPr>
        <w:spacing w:line="560" w:lineRule="exact"/>
        <w:rPr>
          <w:rFonts w:eastAsia="仿宋_GB2312"/>
          <w:b/>
          <w:bCs/>
          <w:sz w:val="32"/>
          <w:szCs w:val="32"/>
        </w:rPr>
      </w:pPr>
    </w:p>
    <w:p w:rsidR="009A61A8" w:rsidRDefault="009A61A8" w:rsidP="0060259E">
      <w:pPr>
        <w:spacing w:line="560" w:lineRule="exact"/>
        <w:rPr>
          <w:rFonts w:eastAsia="仿宋_GB2312"/>
          <w:b/>
          <w:bCs/>
          <w:sz w:val="32"/>
          <w:szCs w:val="32"/>
        </w:rPr>
      </w:pPr>
    </w:p>
    <w:p w:rsidR="009A61A8" w:rsidRDefault="009A61A8" w:rsidP="0060259E">
      <w:pPr>
        <w:spacing w:line="560" w:lineRule="exact"/>
        <w:rPr>
          <w:rFonts w:eastAsia="仿宋_GB2312"/>
          <w:b/>
          <w:bCs/>
          <w:sz w:val="32"/>
          <w:szCs w:val="32"/>
        </w:rPr>
      </w:pPr>
      <w:bookmarkStart w:id="0" w:name="_GoBack"/>
      <w:bookmarkEnd w:id="0"/>
    </w:p>
    <w:p w:rsidR="009A61A8" w:rsidRDefault="009A61A8" w:rsidP="0060259E">
      <w:pPr>
        <w:spacing w:line="560" w:lineRule="exact"/>
        <w:rPr>
          <w:rFonts w:eastAsia="仿宋_GB2312"/>
          <w:b/>
          <w:bCs/>
          <w:sz w:val="32"/>
          <w:szCs w:val="32"/>
        </w:rPr>
      </w:pPr>
    </w:p>
    <w:p w:rsidR="009A61A8" w:rsidRDefault="009A61A8" w:rsidP="009252F4">
      <w:pPr>
        <w:spacing w:line="540" w:lineRule="exact"/>
        <w:jc w:val="center"/>
        <w:rPr>
          <w:rFonts w:eastAsia="仿宋_GB2312"/>
          <w:sz w:val="32"/>
          <w:szCs w:val="32"/>
        </w:rPr>
      </w:pPr>
      <w:r>
        <w:rPr>
          <w:rFonts w:eastAsia="仿宋_GB2312" w:cs="仿宋_GB2312" w:hint="eastAsia"/>
          <w:sz w:val="32"/>
          <w:szCs w:val="32"/>
        </w:rPr>
        <w:t>醴国土资发〔</w:t>
      </w:r>
      <w:r w:rsidRPr="009252F4">
        <w:rPr>
          <w:sz w:val="32"/>
          <w:szCs w:val="32"/>
        </w:rPr>
        <w:t>2</w:t>
      </w:r>
      <w:r w:rsidRPr="009252F4">
        <w:rPr>
          <w:rFonts w:eastAsia="仿宋_GB2312"/>
          <w:sz w:val="32"/>
          <w:szCs w:val="32"/>
        </w:rPr>
        <w:t>016</w:t>
      </w:r>
      <w:r>
        <w:rPr>
          <w:rFonts w:eastAsia="仿宋_GB2312" w:cs="仿宋_GB2312" w:hint="eastAsia"/>
          <w:sz w:val="32"/>
          <w:szCs w:val="32"/>
        </w:rPr>
        <w:t>〕</w:t>
      </w:r>
      <w:r w:rsidRPr="009252F4">
        <w:rPr>
          <w:rFonts w:eastAsia="仿宋_GB2312"/>
          <w:sz w:val="32"/>
          <w:szCs w:val="32"/>
        </w:rPr>
        <w:t>9</w:t>
      </w:r>
      <w:r>
        <w:rPr>
          <w:rFonts w:eastAsia="仿宋_GB2312" w:cs="仿宋_GB2312" w:hint="eastAsia"/>
          <w:sz w:val="32"/>
          <w:szCs w:val="32"/>
        </w:rPr>
        <w:t>号</w:t>
      </w:r>
    </w:p>
    <w:p w:rsidR="009A61A8" w:rsidRDefault="009A61A8" w:rsidP="009252F4">
      <w:pPr>
        <w:spacing w:line="540" w:lineRule="exact"/>
        <w:jc w:val="center"/>
        <w:rPr>
          <w:rFonts w:eastAsia="仿宋_GB2312"/>
          <w:sz w:val="32"/>
          <w:szCs w:val="32"/>
        </w:rPr>
      </w:pPr>
    </w:p>
    <w:p w:rsidR="009A61A8" w:rsidRDefault="009A61A8" w:rsidP="009252F4">
      <w:pPr>
        <w:spacing w:line="540" w:lineRule="exact"/>
        <w:jc w:val="center"/>
        <w:rPr>
          <w:rFonts w:eastAsia="仿宋_GB2312"/>
          <w:b/>
          <w:bCs/>
          <w:sz w:val="32"/>
          <w:szCs w:val="32"/>
        </w:rPr>
      </w:pPr>
    </w:p>
    <w:p w:rsidR="009A61A8" w:rsidRPr="0060259E" w:rsidRDefault="009A61A8" w:rsidP="009252F4">
      <w:pPr>
        <w:spacing w:line="540" w:lineRule="exact"/>
        <w:jc w:val="center"/>
        <w:rPr>
          <w:rFonts w:ascii="方正小标宋简体" w:eastAsia="方正小标宋简体"/>
          <w:sz w:val="44"/>
          <w:szCs w:val="44"/>
        </w:rPr>
      </w:pPr>
      <w:r w:rsidRPr="0060259E">
        <w:rPr>
          <w:rFonts w:ascii="方正小标宋简体" w:eastAsia="方正小标宋简体" w:cs="方正小标宋简体" w:hint="eastAsia"/>
          <w:sz w:val="44"/>
          <w:szCs w:val="44"/>
        </w:rPr>
        <w:t>醴陵市国土资源局</w:t>
      </w:r>
    </w:p>
    <w:p w:rsidR="009A61A8" w:rsidRPr="0060259E" w:rsidRDefault="009A61A8" w:rsidP="009252F4">
      <w:pPr>
        <w:spacing w:line="540" w:lineRule="exact"/>
        <w:jc w:val="center"/>
        <w:rPr>
          <w:rFonts w:ascii="方正小标宋简体" w:eastAsia="方正小标宋简体"/>
          <w:sz w:val="44"/>
          <w:szCs w:val="44"/>
        </w:rPr>
      </w:pPr>
      <w:r w:rsidRPr="0060259E">
        <w:rPr>
          <w:rFonts w:ascii="方正小标宋简体" w:eastAsia="方正小标宋简体" w:cs="方正小标宋简体" w:hint="eastAsia"/>
          <w:sz w:val="44"/>
          <w:szCs w:val="44"/>
        </w:rPr>
        <w:t>关于全面开展烟花爆竹、加油（气）站等</w:t>
      </w:r>
    </w:p>
    <w:p w:rsidR="009A61A8" w:rsidRPr="0060259E" w:rsidRDefault="009A61A8" w:rsidP="009252F4">
      <w:pPr>
        <w:spacing w:line="540" w:lineRule="exact"/>
        <w:jc w:val="center"/>
        <w:rPr>
          <w:rFonts w:ascii="方正小标宋简体" w:eastAsia="方正小标宋简体"/>
          <w:sz w:val="44"/>
          <w:szCs w:val="44"/>
        </w:rPr>
      </w:pPr>
      <w:r w:rsidRPr="0060259E">
        <w:rPr>
          <w:rFonts w:ascii="方正小标宋简体" w:eastAsia="方正小标宋简体" w:cs="方正小标宋简体" w:hint="eastAsia"/>
          <w:sz w:val="44"/>
          <w:szCs w:val="44"/>
        </w:rPr>
        <w:t>危险品生产企业用地清查的通知</w:t>
      </w:r>
    </w:p>
    <w:p w:rsidR="009A61A8" w:rsidRDefault="009A61A8" w:rsidP="009252F4">
      <w:pPr>
        <w:spacing w:line="540" w:lineRule="exact"/>
        <w:rPr>
          <w:rFonts w:eastAsia="仿宋_GB2312"/>
          <w:b/>
          <w:bCs/>
          <w:sz w:val="32"/>
          <w:szCs w:val="32"/>
        </w:rPr>
      </w:pPr>
    </w:p>
    <w:p w:rsidR="009A61A8" w:rsidRDefault="009A61A8" w:rsidP="009252F4">
      <w:pPr>
        <w:spacing w:line="540" w:lineRule="exact"/>
        <w:rPr>
          <w:rFonts w:eastAsia="仿宋_GB2312"/>
          <w:sz w:val="32"/>
          <w:szCs w:val="32"/>
        </w:rPr>
      </w:pPr>
      <w:r>
        <w:rPr>
          <w:rFonts w:eastAsia="仿宋_GB2312" w:cs="仿宋_GB2312" w:hint="eastAsia"/>
          <w:sz w:val="32"/>
          <w:szCs w:val="32"/>
        </w:rPr>
        <w:t>各中心所</w:t>
      </w:r>
      <w:r>
        <w:rPr>
          <w:rFonts w:eastAsia="仿宋_GB2312"/>
          <w:sz w:val="32"/>
          <w:szCs w:val="32"/>
        </w:rPr>
        <w:t>(</w:t>
      </w:r>
      <w:r>
        <w:rPr>
          <w:rFonts w:eastAsia="仿宋_GB2312" w:cs="仿宋_GB2312" w:hint="eastAsia"/>
          <w:sz w:val="32"/>
          <w:szCs w:val="32"/>
        </w:rPr>
        <w:t>分局</w:t>
      </w:r>
      <w:r>
        <w:rPr>
          <w:rFonts w:eastAsia="仿宋_GB2312"/>
          <w:sz w:val="32"/>
          <w:szCs w:val="32"/>
        </w:rPr>
        <w:t>)</w:t>
      </w:r>
      <w:r>
        <w:rPr>
          <w:rFonts w:eastAsia="仿宋_GB2312" w:cs="仿宋_GB2312" w:hint="eastAsia"/>
          <w:sz w:val="32"/>
          <w:szCs w:val="32"/>
        </w:rPr>
        <w:t>、机关相关股室：</w:t>
      </w:r>
    </w:p>
    <w:p w:rsidR="009A61A8" w:rsidRDefault="009A61A8" w:rsidP="00825092">
      <w:pPr>
        <w:spacing w:line="540" w:lineRule="exact"/>
        <w:ind w:firstLineChars="200" w:firstLine="31680"/>
        <w:rPr>
          <w:rFonts w:eastAsia="仿宋_GB2312"/>
          <w:sz w:val="32"/>
          <w:szCs w:val="32"/>
        </w:rPr>
      </w:pPr>
      <w:r>
        <w:rPr>
          <w:rFonts w:eastAsia="仿宋_GB2312" w:cs="仿宋_GB2312" w:hint="eastAsia"/>
          <w:sz w:val="32"/>
          <w:szCs w:val="32"/>
        </w:rPr>
        <w:t>根据上级有关文件精神</w:t>
      </w:r>
      <w:r>
        <w:rPr>
          <w:rFonts w:eastAsia="仿宋_GB2312" w:cs="仿宋_GB2312" w:hint="eastAsia"/>
          <w:kern w:val="0"/>
          <w:sz w:val="32"/>
          <w:szCs w:val="32"/>
        </w:rPr>
        <w:t>，</w:t>
      </w:r>
      <w:r>
        <w:rPr>
          <w:rFonts w:eastAsia="仿宋_GB2312" w:cs="仿宋_GB2312" w:hint="eastAsia"/>
          <w:sz w:val="32"/>
          <w:szCs w:val="32"/>
        </w:rPr>
        <w:t>结合近几年来土地矿产卫片执法监督检查中发现的烟花爆竹等危险品生产企业违法用地现象，为加强和规范烟花爆竹、加油（气）站等危险品生产企业用地全面、全程监督管理，进一步规范企业依法依规使用土地，决定开展全市烟花爆竹、加油（气）站等危险品生产企业用地专项清查行动，现就有关事项通知如下：</w:t>
      </w:r>
    </w:p>
    <w:p w:rsidR="009A61A8" w:rsidRDefault="009A61A8" w:rsidP="00825092">
      <w:pPr>
        <w:spacing w:line="540" w:lineRule="exact"/>
        <w:ind w:firstLineChars="200" w:firstLine="31680"/>
        <w:rPr>
          <w:rFonts w:ascii="黑体" w:eastAsia="黑体" w:hAnsi="黑体"/>
          <w:sz w:val="32"/>
          <w:szCs w:val="32"/>
        </w:rPr>
      </w:pPr>
      <w:r>
        <w:rPr>
          <w:rFonts w:ascii="黑体" w:eastAsia="黑体" w:hAnsi="黑体" w:cs="黑体" w:hint="eastAsia"/>
          <w:sz w:val="32"/>
          <w:szCs w:val="32"/>
        </w:rPr>
        <w:t>一、成立专项清查行动领导小组</w:t>
      </w:r>
    </w:p>
    <w:p w:rsidR="009A61A8" w:rsidRDefault="009A61A8" w:rsidP="00825092">
      <w:pPr>
        <w:spacing w:line="540" w:lineRule="exact"/>
        <w:ind w:firstLineChars="200" w:firstLine="31680"/>
        <w:rPr>
          <w:rFonts w:eastAsia="仿宋_GB2312"/>
          <w:sz w:val="32"/>
          <w:szCs w:val="32"/>
        </w:rPr>
      </w:pPr>
      <w:r>
        <w:rPr>
          <w:rFonts w:eastAsia="仿宋_GB2312" w:cs="仿宋_GB2312" w:hint="eastAsia"/>
          <w:sz w:val="32"/>
          <w:szCs w:val="32"/>
        </w:rPr>
        <w:t>局党组高度重视对烟花爆竹、加油（气）站等危险品生产企业用地的清查工作，为进一步规范用地、履行职责，确保人民群众生命财产安全。特成立专项清查行动领导小组，人员如下：</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组</w:t>
      </w:r>
      <w:r>
        <w:rPr>
          <w:rFonts w:eastAsia="仿宋_GB2312"/>
          <w:sz w:val="32"/>
          <w:szCs w:val="32"/>
        </w:rPr>
        <w:t xml:space="preserve">  </w:t>
      </w:r>
      <w:r>
        <w:rPr>
          <w:rFonts w:eastAsia="仿宋_GB2312" w:cs="仿宋_GB2312" w:hint="eastAsia"/>
          <w:sz w:val="32"/>
          <w:szCs w:val="32"/>
        </w:rPr>
        <w:t>长：陈</w:t>
      </w:r>
      <w:r>
        <w:rPr>
          <w:rFonts w:eastAsia="仿宋_GB2312"/>
          <w:sz w:val="32"/>
          <w:szCs w:val="32"/>
        </w:rPr>
        <w:t xml:space="preserve">  </w:t>
      </w:r>
      <w:r>
        <w:rPr>
          <w:rFonts w:eastAsia="仿宋_GB2312" w:cs="仿宋_GB2312" w:hint="eastAsia"/>
          <w:sz w:val="32"/>
          <w:szCs w:val="32"/>
        </w:rPr>
        <w:t>佳</w:t>
      </w:r>
      <w:r>
        <w:rPr>
          <w:rFonts w:eastAsia="仿宋_GB2312"/>
          <w:sz w:val="32"/>
          <w:szCs w:val="32"/>
        </w:rPr>
        <w:t xml:space="preserve">    </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副组长</w:t>
      </w:r>
      <w:r>
        <w:rPr>
          <w:rFonts w:eastAsia="仿宋_GB2312"/>
          <w:sz w:val="32"/>
          <w:szCs w:val="32"/>
        </w:rPr>
        <w:t xml:space="preserve">  </w:t>
      </w:r>
      <w:r>
        <w:rPr>
          <w:rFonts w:eastAsia="仿宋_GB2312" w:cs="仿宋_GB2312" w:hint="eastAsia"/>
          <w:sz w:val="32"/>
          <w:szCs w:val="32"/>
        </w:rPr>
        <w:t>瞿海华</w:t>
      </w:r>
      <w:r>
        <w:rPr>
          <w:rFonts w:eastAsia="仿宋_GB2312"/>
          <w:sz w:val="32"/>
          <w:szCs w:val="32"/>
        </w:rPr>
        <w:t xml:space="preserve">  </w:t>
      </w:r>
      <w:r>
        <w:rPr>
          <w:rFonts w:eastAsia="仿宋_GB2312" w:cs="仿宋_GB2312" w:hint="eastAsia"/>
          <w:sz w:val="32"/>
          <w:szCs w:val="32"/>
        </w:rPr>
        <w:t>凌</w:t>
      </w:r>
      <w:r>
        <w:rPr>
          <w:rFonts w:eastAsia="仿宋_GB2312"/>
          <w:sz w:val="32"/>
          <w:szCs w:val="32"/>
        </w:rPr>
        <w:t xml:space="preserve">  </w:t>
      </w:r>
      <w:r>
        <w:rPr>
          <w:rFonts w:eastAsia="仿宋_GB2312" w:cs="仿宋_GB2312" w:hint="eastAsia"/>
          <w:sz w:val="32"/>
          <w:szCs w:val="32"/>
        </w:rPr>
        <w:t>斌</w:t>
      </w:r>
      <w:r>
        <w:rPr>
          <w:rFonts w:eastAsia="仿宋_GB2312"/>
          <w:sz w:val="32"/>
          <w:szCs w:val="32"/>
        </w:rPr>
        <w:t xml:space="preserve">  </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成</w:t>
      </w:r>
      <w:r>
        <w:rPr>
          <w:rFonts w:eastAsia="仿宋_GB2312"/>
          <w:sz w:val="32"/>
          <w:szCs w:val="32"/>
        </w:rPr>
        <w:t xml:space="preserve">  </w:t>
      </w:r>
      <w:r>
        <w:rPr>
          <w:rFonts w:eastAsia="仿宋_GB2312" w:cs="仿宋_GB2312" w:hint="eastAsia"/>
          <w:sz w:val="32"/>
          <w:szCs w:val="32"/>
        </w:rPr>
        <w:t>员：各中心所（分局）负责人，执法监察大队、规划用地、政策法规、地籍等股室负责人。</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下设办公室，办公室设在执法监察大队。</w:t>
      </w:r>
    </w:p>
    <w:p w:rsidR="009A61A8" w:rsidRDefault="009A61A8" w:rsidP="00825092">
      <w:pPr>
        <w:spacing w:line="560" w:lineRule="exact"/>
        <w:ind w:firstLineChars="200" w:firstLine="31680"/>
        <w:rPr>
          <w:rFonts w:ascii="黑体" w:eastAsia="黑体" w:hAnsi="黑体"/>
          <w:sz w:val="32"/>
          <w:szCs w:val="32"/>
        </w:rPr>
      </w:pPr>
      <w:r>
        <w:rPr>
          <w:rFonts w:ascii="黑体" w:eastAsia="黑体" w:hAnsi="黑体" w:cs="黑体" w:hint="eastAsia"/>
          <w:sz w:val="32"/>
          <w:szCs w:val="32"/>
        </w:rPr>
        <w:t>二、加强清查、如实上报</w:t>
      </w:r>
    </w:p>
    <w:p w:rsidR="009A61A8" w:rsidRDefault="009A61A8" w:rsidP="00825092">
      <w:pPr>
        <w:spacing w:line="560" w:lineRule="exact"/>
        <w:ind w:firstLineChars="200" w:firstLine="31680"/>
        <w:rPr>
          <w:rFonts w:eastAsia="仿宋_GB2312"/>
          <w:sz w:val="32"/>
          <w:szCs w:val="32"/>
        </w:rPr>
      </w:pPr>
      <w:r>
        <w:rPr>
          <w:rFonts w:eastAsia="仿宋_GB2312" w:cs="仿宋_GB2312" w:hint="eastAsia"/>
          <w:sz w:val="32"/>
          <w:szCs w:val="32"/>
        </w:rPr>
        <w:t>各中心所（分局）要本着高度负责的精神，对辖区内烟花爆竹、加油（气）站等危险品生产企业用地情况进行全面清查，对有烟花爆竹、加油（气）站等危险品生产企业用地的乡镇、村要进行重点清查，明确清查责任人；对辖区内涉嫌违法用地的烟花爆竹、加油（气）站等危险品生产企业的用地情况进行清理，分析存在的问题并提出相应处理意见；对清查中发现批而未供、未批先用等问题的，要及时发现、制止和查处。清查情况要及时上报领导小组。</w:t>
      </w:r>
    </w:p>
    <w:p w:rsidR="009A61A8" w:rsidRDefault="009A61A8" w:rsidP="00825092">
      <w:pPr>
        <w:spacing w:line="560" w:lineRule="exact"/>
        <w:ind w:firstLineChars="200" w:firstLine="31680"/>
        <w:rPr>
          <w:rFonts w:ascii="黑体" w:eastAsia="黑体" w:hAnsi="黑体"/>
          <w:sz w:val="32"/>
          <w:szCs w:val="32"/>
        </w:rPr>
      </w:pPr>
      <w:r>
        <w:rPr>
          <w:rFonts w:ascii="黑体" w:eastAsia="黑体" w:hAnsi="黑体" w:cs="黑体" w:hint="eastAsia"/>
          <w:sz w:val="32"/>
          <w:szCs w:val="32"/>
        </w:rPr>
        <w:t>三、依法规范、及时查处</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对符合立案条件的违法用地的烟花爆竹、加油（气）站等危险品生产企业，严格按照既查事又查人的原则，坚决严肃地予以立案查处。领导小组将对中心所（分局）查处土地违法案件情况进行督促检查，对清查不到位、发现不制止和有案不查的，将按有关规定追究相关人员责任。</w:t>
      </w:r>
    </w:p>
    <w:p w:rsidR="009A61A8" w:rsidRDefault="009A61A8" w:rsidP="00825092">
      <w:pPr>
        <w:spacing w:line="560" w:lineRule="exact"/>
        <w:ind w:firstLineChars="200" w:firstLine="31680"/>
        <w:rPr>
          <w:rFonts w:ascii="黑体" w:eastAsia="黑体" w:hAnsi="黑体"/>
          <w:sz w:val="32"/>
          <w:szCs w:val="32"/>
        </w:rPr>
      </w:pPr>
      <w:r>
        <w:rPr>
          <w:rFonts w:ascii="黑体" w:eastAsia="黑体" w:hAnsi="黑体" w:cs="黑体" w:hint="eastAsia"/>
          <w:sz w:val="32"/>
          <w:szCs w:val="32"/>
        </w:rPr>
        <w:t>四、工作时间安排</w:t>
      </w:r>
    </w:p>
    <w:p w:rsidR="009A61A8" w:rsidRDefault="009A61A8" w:rsidP="00825092">
      <w:pPr>
        <w:pStyle w:val="NormalWeb"/>
        <w:widowControl/>
        <w:spacing w:beforeAutospacing="0" w:afterAutospacing="0" w:line="560" w:lineRule="exact"/>
        <w:ind w:firstLineChars="200" w:firstLine="31680"/>
        <w:jc w:val="both"/>
        <w:rPr>
          <w:rFonts w:eastAsia="仿宋_GB2312"/>
          <w:sz w:val="32"/>
          <w:szCs w:val="32"/>
        </w:rPr>
      </w:pPr>
      <w:r>
        <w:rPr>
          <w:rFonts w:eastAsia="仿宋_GB2312"/>
          <w:sz w:val="32"/>
          <w:szCs w:val="32"/>
        </w:rPr>
        <w:t>2016</w:t>
      </w:r>
      <w:r>
        <w:rPr>
          <w:rFonts w:eastAsia="仿宋_GB2312" w:cs="仿宋_GB2312" w:hint="eastAsia"/>
          <w:sz w:val="32"/>
          <w:szCs w:val="32"/>
        </w:rPr>
        <w:t>年</w:t>
      </w:r>
      <w:r>
        <w:rPr>
          <w:rFonts w:eastAsia="仿宋_GB2312"/>
          <w:sz w:val="32"/>
          <w:szCs w:val="32"/>
        </w:rPr>
        <w:t>3</w:t>
      </w:r>
      <w:r>
        <w:rPr>
          <w:rFonts w:eastAsia="仿宋_GB2312" w:cs="仿宋_GB2312" w:hint="eastAsia"/>
          <w:sz w:val="32"/>
          <w:szCs w:val="32"/>
        </w:rPr>
        <w:t>月</w:t>
      </w:r>
      <w:r>
        <w:rPr>
          <w:rFonts w:eastAsia="仿宋_GB2312"/>
          <w:sz w:val="32"/>
          <w:szCs w:val="32"/>
        </w:rPr>
        <w:t>31</w:t>
      </w:r>
      <w:r>
        <w:rPr>
          <w:rFonts w:eastAsia="仿宋_GB2312" w:cs="仿宋_GB2312" w:hint="eastAsia"/>
          <w:sz w:val="32"/>
          <w:szCs w:val="32"/>
        </w:rPr>
        <w:t>日前，各中心所（分局）向领导小组办公室上报烟花爆竹、加油（气）站等危险产品企业违法用地清查情况报告、《醴陵市烟花爆竹、加油（气）站等危险品生产企业用地清理情况统计表》（附表</w:t>
      </w:r>
      <w:r>
        <w:rPr>
          <w:rFonts w:eastAsia="仿宋_GB2312"/>
          <w:sz w:val="32"/>
          <w:szCs w:val="32"/>
        </w:rPr>
        <w:t>1</w:t>
      </w:r>
      <w:r>
        <w:rPr>
          <w:rFonts w:eastAsia="仿宋_GB2312" w:cs="仿宋_GB2312" w:hint="eastAsia"/>
          <w:sz w:val="32"/>
          <w:szCs w:val="32"/>
        </w:rPr>
        <w:t>）和《醴陵市烟花爆竹、加油（气）站等危险品生产企业违法用地清理情况统计表》（附表</w:t>
      </w:r>
      <w:r>
        <w:rPr>
          <w:rFonts w:eastAsia="仿宋_GB2312"/>
          <w:sz w:val="32"/>
          <w:szCs w:val="32"/>
        </w:rPr>
        <w:t>2</w:t>
      </w:r>
      <w:r>
        <w:rPr>
          <w:rFonts w:eastAsia="仿宋_GB2312" w:cs="仿宋_GB2312" w:hint="eastAsia"/>
          <w:sz w:val="32"/>
          <w:szCs w:val="32"/>
        </w:rPr>
        <w:t>），同时报送纸质版和电子版，以纸质盖章为准，</w:t>
      </w:r>
      <w:hyperlink r:id="rId6" w:history="1">
        <w:r>
          <w:rPr>
            <w:rStyle w:val="Hyperlink"/>
            <w:rFonts w:eastAsia="仿宋_GB2312" w:cs="仿宋_GB2312" w:hint="eastAsia"/>
            <w:color w:val="000000"/>
            <w:sz w:val="32"/>
            <w:szCs w:val="32"/>
          </w:rPr>
          <w:t>电子版发送至</w:t>
        </w:r>
        <w:r>
          <w:rPr>
            <w:rFonts w:eastAsia="仿宋_GB2312" w:cs="仿宋_GB2312" w:hint="eastAsia"/>
            <w:color w:val="000000"/>
            <w:sz w:val="32"/>
            <w:szCs w:val="32"/>
          </w:rPr>
          <w:t>陈鹏程</w:t>
        </w:r>
        <w:r>
          <w:rPr>
            <w:rFonts w:eastAsia="仿宋_GB2312"/>
            <w:color w:val="000000"/>
            <w:sz w:val="32"/>
            <w:szCs w:val="32"/>
          </w:rPr>
          <w:t>QQ</w:t>
        </w:r>
        <w:r>
          <w:rPr>
            <w:rStyle w:val="Hyperlink"/>
            <w:rFonts w:eastAsia="仿宋_GB2312"/>
            <w:color w:val="auto"/>
            <w:sz w:val="32"/>
            <w:szCs w:val="32"/>
          </w:rPr>
          <w:t>1240515033</w:t>
        </w:r>
      </w:hyperlink>
      <w:r>
        <w:rPr>
          <w:rFonts w:eastAsia="仿宋_GB2312" w:cs="仿宋_GB2312" w:hint="eastAsia"/>
          <w:color w:val="000000"/>
          <w:sz w:val="32"/>
          <w:szCs w:val="32"/>
        </w:rPr>
        <w:t>，联系电话</w:t>
      </w:r>
      <w:r>
        <w:rPr>
          <w:rFonts w:eastAsia="仿宋_GB2312"/>
          <w:color w:val="000000"/>
          <w:sz w:val="32"/>
          <w:szCs w:val="32"/>
        </w:rPr>
        <w:t>23220308</w:t>
      </w:r>
      <w:r>
        <w:rPr>
          <w:rFonts w:eastAsia="仿宋_GB2312" w:cs="仿宋_GB2312" w:hint="eastAsia"/>
          <w:color w:val="000000"/>
          <w:sz w:val="32"/>
          <w:szCs w:val="32"/>
        </w:rPr>
        <w:t>。</w:t>
      </w:r>
    </w:p>
    <w:p w:rsidR="009A61A8" w:rsidRDefault="009A61A8" w:rsidP="0060259E">
      <w:pPr>
        <w:spacing w:line="560" w:lineRule="exact"/>
        <w:ind w:firstLine="600"/>
        <w:rPr>
          <w:rFonts w:eastAsia="仿宋_GB2312"/>
          <w:sz w:val="32"/>
          <w:szCs w:val="32"/>
        </w:rPr>
      </w:pPr>
      <w:r>
        <w:rPr>
          <w:rFonts w:eastAsia="仿宋_GB2312" w:cs="仿宋_GB2312" w:hint="eastAsia"/>
          <w:sz w:val="32"/>
          <w:szCs w:val="32"/>
        </w:rPr>
        <w:t>各中心所（分局）利用这次清查行动建立常态的监管工作机制，有效遏制烟花爆竹、加油（气）站等危险品生产企业违法用地的行为，并将清理工作中遇到问题，及时向领导小组报告。</w:t>
      </w:r>
    </w:p>
    <w:p w:rsidR="009A61A8" w:rsidRDefault="009A61A8" w:rsidP="0060259E">
      <w:pPr>
        <w:spacing w:line="560" w:lineRule="exact"/>
        <w:rPr>
          <w:rFonts w:eastAsia="仿宋_GB2312"/>
          <w:sz w:val="32"/>
          <w:szCs w:val="32"/>
        </w:rPr>
      </w:pPr>
    </w:p>
    <w:p w:rsidR="009A61A8" w:rsidRDefault="009A61A8" w:rsidP="00825092">
      <w:pPr>
        <w:spacing w:line="560" w:lineRule="exact"/>
        <w:ind w:left="31680" w:hangingChars="350" w:firstLine="31680"/>
        <w:rPr>
          <w:rFonts w:eastAsia="仿宋_GB2312"/>
          <w:sz w:val="32"/>
          <w:szCs w:val="32"/>
        </w:rPr>
      </w:pPr>
      <w:r>
        <w:rPr>
          <w:rFonts w:eastAsia="仿宋_GB2312" w:cs="仿宋_GB2312" w:hint="eastAsia"/>
          <w:sz w:val="32"/>
          <w:szCs w:val="32"/>
        </w:rPr>
        <w:t>附表</w:t>
      </w:r>
      <w:r>
        <w:rPr>
          <w:rFonts w:eastAsia="仿宋_GB2312"/>
          <w:sz w:val="32"/>
          <w:szCs w:val="32"/>
        </w:rPr>
        <w:t>1</w:t>
      </w:r>
      <w:r>
        <w:rPr>
          <w:rFonts w:eastAsia="仿宋_GB2312" w:cs="仿宋_GB2312" w:hint="eastAsia"/>
          <w:sz w:val="32"/>
          <w:szCs w:val="32"/>
        </w:rPr>
        <w:t>：醴陵市烟花爆竹、加油（气）站等危险品生产企业用地清理情况统计表</w:t>
      </w:r>
    </w:p>
    <w:p w:rsidR="009A61A8" w:rsidRDefault="009A61A8" w:rsidP="00825092">
      <w:pPr>
        <w:spacing w:line="560" w:lineRule="exact"/>
        <w:ind w:left="31680" w:hangingChars="350" w:firstLine="31680"/>
        <w:rPr>
          <w:rFonts w:eastAsia="仿宋_GB2312"/>
          <w:sz w:val="32"/>
          <w:szCs w:val="32"/>
        </w:rPr>
      </w:pPr>
      <w:r>
        <w:rPr>
          <w:rFonts w:eastAsia="仿宋_GB2312" w:cs="仿宋_GB2312" w:hint="eastAsia"/>
          <w:sz w:val="32"/>
          <w:szCs w:val="32"/>
        </w:rPr>
        <w:t>附表</w:t>
      </w:r>
      <w:r>
        <w:rPr>
          <w:rFonts w:eastAsia="仿宋_GB2312"/>
          <w:sz w:val="32"/>
          <w:szCs w:val="32"/>
        </w:rPr>
        <w:t>2</w:t>
      </w:r>
      <w:r>
        <w:rPr>
          <w:rFonts w:eastAsia="仿宋_GB2312" w:cs="仿宋_GB2312" w:hint="eastAsia"/>
          <w:sz w:val="32"/>
          <w:szCs w:val="32"/>
        </w:rPr>
        <w:t>：醴陵市烟花爆竹、加油（气）站等危险品生产企业违法用地清理情况统计表</w:t>
      </w:r>
    </w:p>
    <w:p w:rsidR="009A61A8" w:rsidRDefault="009A61A8" w:rsidP="0060259E">
      <w:pPr>
        <w:spacing w:line="560" w:lineRule="exact"/>
        <w:rPr>
          <w:rFonts w:eastAsia="仿宋_GB2312"/>
          <w:sz w:val="32"/>
          <w:szCs w:val="32"/>
        </w:rPr>
      </w:pPr>
    </w:p>
    <w:p w:rsidR="009A61A8" w:rsidRDefault="009A61A8" w:rsidP="0060259E">
      <w:pPr>
        <w:spacing w:line="560" w:lineRule="exact"/>
        <w:ind w:firstLine="600"/>
        <w:rPr>
          <w:rFonts w:eastAsia="仿宋_GB2312"/>
          <w:sz w:val="32"/>
          <w:szCs w:val="32"/>
        </w:rPr>
      </w:pPr>
      <w:r>
        <w:rPr>
          <w:rFonts w:eastAsia="仿宋_GB2312"/>
          <w:sz w:val="32"/>
          <w:szCs w:val="32"/>
        </w:rPr>
        <w:t xml:space="preserve">                                  </w:t>
      </w:r>
    </w:p>
    <w:p w:rsidR="009A61A8" w:rsidRDefault="009A61A8" w:rsidP="0060259E">
      <w:pPr>
        <w:spacing w:line="560" w:lineRule="exact"/>
        <w:ind w:firstLine="600"/>
        <w:rPr>
          <w:rFonts w:eastAsia="仿宋_GB2312"/>
          <w:sz w:val="32"/>
          <w:szCs w:val="32"/>
        </w:rPr>
      </w:pPr>
      <w:r>
        <w:rPr>
          <w:rFonts w:eastAsia="仿宋_GB2312"/>
          <w:sz w:val="32"/>
          <w:szCs w:val="32"/>
        </w:rPr>
        <w:t xml:space="preserve">                                  </w:t>
      </w:r>
    </w:p>
    <w:p w:rsidR="009A61A8" w:rsidRDefault="009A61A8" w:rsidP="0060259E">
      <w:pPr>
        <w:spacing w:line="560" w:lineRule="exact"/>
        <w:ind w:firstLine="600"/>
        <w:rPr>
          <w:rFonts w:eastAsia="仿宋_GB2312"/>
          <w:sz w:val="32"/>
          <w:szCs w:val="32"/>
        </w:rPr>
      </w:pPr>
      <w:r>
        <w:rPr>
          <w:rFonts w:eastAsia="仿宋_GB2312"/>
          <w:sz w:val="32"/>
          <w:szCs w:val="32"/>
        </w:rPr>
        <w:t xml:space="preserve">                                 </w:t>
      </w:r>
      <w:r>
        <w:rPr>
          <w:rFonts w:eastAsia="仿宋_GB2312" w:cs="仿宋_GB2312" w:hint="eastAsia"/>
          <w:sz w:val="32"/>
          <w:szCs w:val="32"/>
        </w:rPr>
        <w:t>醴陵市国土资源局</w:t>
      </w:r>
    </w:p>
    <w:p w:rsidR="009A61A8" w:rsidRDefault="009A61A8" w:rsidP="0060259E">
      <w:pPr>
        <w:spacing w:line="560" w:lineRule="exact"/>
        <w:ind w:firstLine="600"/>
        <w:rPr>
          <w:rFonts w:eastAsia="仿宋_GB2312"/>
          <w:sz w:val="32"/>
          <w:szCs w:val="32"/>
        </w:rPr>
      </w:pPr>
      <w:r>
        <w:rPr>
          <w:rFonts w:eastAsia="仿宋_GB2312"/>
          <w:sz w:val="32"/>
          <w:szCs w:val="32"/>
        </w:rPr>
        <w:t xml:space="preserve">                                 2016</w:t>
      </w:r>
      <w:r>
        <w:rPr>
          <w:rFonts w:eastAsia="仿宋_GB2312" w:cs="仿宋_GB2312" w:hint="eastAsia"/>
          <w:sz w:val="32"/>
          <w:szCs w:val="32"/>
        </w:rPr>
        <w:t>年</w:t>
      </w:r>
      <w:r>
        <w:rPr>
          <w:rFonts w:eastAsia="仿宋_GB2312"/>
          <w:sz w:val="32"/>
          <w:szCs w:val="32"/>
        </w:rPr>
        <w:t>2</w:t>
      </w:r>
      <w:r>
        <w:rPr>
          <w:rFonts w:eastAsia="仿宋_GB2312" w:cs="仿宋_GB2312" w:hint="eastAsia"/>
          <w:sz w:val="32"/>
          <w:szCs w:val="32"/>
        </w:rPr>
        <w:t>月</w:t>
      </w:r>
      <w:r>
        <w:rPr>
          <w:rFonts w:eastAsia="仿宋_GB2312"/>
          <w:sz w:val="32"/>
          <w:szCs w:val="32"/>
        </w:rPr>
        <w:t>29</w:t>
      </w:r>
      <w:r>
        <w:rPr>
          <w:rFonts w:eastAsia="仿宋_GB2312" w:cs="仿宋_GB2312" w:hint="eastAsia"/>
          <w:sz w:val="32"/>
          <w:szCs w:val="32"/>
        </w:rPr>
        <w:t>日</w:t>
      </w:r>
    </w:p>
    <w:p w:rsidR="009A61A8" w:rsidRDefault="009A61A8" w:rsidP="0060259E">
      <w:pPr>
        <w:spacing w:line="560" w:lineRule="exact"/>
        <w:ind w:firstLine="600"/>
        <w:rPr>
          <w:rFonts w:eastAsia="仿宋_GB2312"/>
          <w:sz w:val="32"/>
          <w:szCs w:val="32"/>
        </w:rPr>
      </w:pPr>
    </w:p>
    <w:p w:rsidR="009A61A8" w:rsidRPr="009252F4" w:rsidRDefault="009A61A8" w:rsidP="004C705F">
      <w:pPr>
        <w:spacing w:line="600" w:lineRule="exact"/>
        <w:jc w:val="left"/>
        <w:rPr>
          <w:rFonts w:eastAsia="黑体"/>
          <w:sz w:val="32"/>
          <w:szCs w:val="32"/>
        </w:rPr>
      </w:pPr>
      <w:r w:rsidRPr="004C705F">
        <w:rPr>
          <w:rFonts w:ascii="黑体" w:eastAsia="黑体" w:cs="黑体" w:hint="eastAsia"/>
          <w:sz w:val="32"/>
          <w:szCs w:val="32"/>
        </w:rPr>
        <w:t>附</w:t>
      </w:r>
      <w:r>
        <w:rPr>
          <w:rFonts w:ascii="黑体" w:eastAsia="黑体" w:cs="黑体" w:hint="eastAsia"/>
          <w:sz w:val="32"/>
          <w:szCs w:val="32"/>
        </w:rPr>
        <w:t>表</w:t>
      </w:r>
      <w:r w:rsidRPr="009252F4">
        <w:rPr>
          <w:rFonts w:eastAsia="黑体"/>
          <w:sz w:val="32"/>
          <w:szCs w:val="32"/>
        </w:rPr>
        <w:t>1</w:t>
      </w:r>
    </w:p>
    <w:p w:rsidR="009A61A8" w:rsidRPr="00676569" w:rsidRDefault="009A61A8" w:rsidP="00676569">
      <w:pPr>
        <w:spacing w:line="600" w:lineRule="exact"/>
        <w:jc w:val="center"/>
        <w:rPr>
          <w:rFonts w:ascii="方正小标宋简体" w:eastAsia="方正小标宋简体"/>
          <w:spacing w:val="-16"/>
          <w:sz w:val="44"/>
          <w:szCs w:val="44"/>
        </w:rPr>
      </w:pPr>
      <w:r w:rsidRPr="00676569">
        <w:rPr>
          <w:rFonts w:ascii="方正小标宋简体" w:eastAsia="方正小标宋简体" w:cs="方正小标宋简体" w:hint="eastAsia"/>
          <w:spacing w:val="-16"/>
          <w:sz w:val="44"/>
          <w:szCs w:val="44"/>
        </w:rPr>
        <w:t>醴陵市烟花爆竹、加油（气）站等危险品生产企业用地清理情况统计表</w:t>
      </w:r>
    </w:p>
    <w:p w:rsidR="009A61A8" w:rsidRDefault="009A61A8" w:rsidP="00825092">
      <w:pPr>
        <w:spacing w:line="600" w:lineRule="exact"/>
        <w:ind w:firstLineChars="150" w:firstLine="31680"/>
        <w:rPr>
          <w:rFonts w:ascii="仿宋_GB2312" w:eastAsia="仿宋_GB2312"/>
          <w:spacing w:val="-20"/>
          <w:sz w:val="32"/>
          <w:szCs w:val="32"/>
        </w:rPr>
      </w:pPr>
      <w:r w:rsidRPr="004C705F">
        <w:rPr>
          <w:rFonts w:ascii="仿宋_GB2312" w:eastAsia="仿宋_GB2312" w:cs="仿宋_GB2312" w:hint="eastAsia"/>
          <w:spacing w:val="-20"/>
          <w:sz w:val="32"/>
          <w:szCs w:val="32"/>
        </w:rPr>
        <w:t>填报单位：</w:t>
      </w:r>
    </w:p>
    <w:tbl>
      <w:tblPr>
        <w:tblW w:w="10177" w:type="dxa"/>
        <w:tblInd w:w="-106" w:type="dxa"/>
        <w:tblLook w:val="0000"/>
      </w:tblPr>
      <w:tblGrid>
        <w:gridCol w:w="838"/>
        <w:gridCol w:w="1580"/>
        <w:gridCol w:w="1220"/>
        <w:gridCol w:w="2060"/>
        <w:gridCol w:w="879"/>
        <w:gridCol w:w="980"/>
        <w:gridCol w:w="820"/>
        <w:gridCol w:w="820"/>
        <w:gridCol w:w="980"/>
      </w:tblGrid>
      <w:tr w:rsidR="009A61A8" w:rsidRPr="00676569">
        <w:trPr>
          <w:trHeight w:val="462"/>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序号</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企业名称</w:t>
            </w:r>
          </w:p>
        </w:tc>
        <w:tc>
          <w:tcPr>
            <w:tcW w:w="1220" w:type="dxa"/>
            <w:vMerge w:val="restart"/>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法人代表（负责人）</w:t>
            </w:r>
          </w:p>
        </w:tc>
        <w:tc>
          <w:tcPr>
            <w:tcW w:w="2060" w:type="dxa"/>
            <w:vMerge w:val="restart"/>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地址（镇村组）</w:t>
            </w:r>
          </w:p>
        </w:tc>
        <w:tc>
          <w:tcPr>
            <w:tcW w:w="1859" w:type="dxa"/>
            <w:gridSpan w:val="2"/>
            <w:tcBorders>
              <w:top w:val="single" w:sz="4" w:space="0" w:color="auto"/>
              <w:left w:val="nil"/>
              <w:bottom w:val="single" w:sz="4" w:space="0" w:color="auto"/>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用地面积</w:t>
            </w:r>
          </w:p>
        </w:tc>
        <w:tc>
          <w:tcPr>
            <w:tcW w:w="820" w:type="dxa"/>
            <w:vMerge w:val="restart"/>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是否符合土地利用总体规划</w:t>
            </w:r>
          </w:p>
        </w:tc>
        <w:tc>
          <w:tcPr>
            <w:tcW w:w="820" w:type="dxa"/>
            <w:vMerge w:val="restart"/>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是否办理合法用地手续</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备注（建厂时间等）</w:t>
            </w:r>
          </w:p>
        </w:tc>
      </w:tr>
      <w:tr w:rsidR="009A61A8" w:rsidRPr="00676569">
        <w:trPr>
          <w:trHeight w:val="315"/>
        </w:trPr>
        <w:tc>
          <w:tcPr>
            <w:tcW w:w="838"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158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12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206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879" w:type="dxa"/>
            <w:vMerge w:val="restart"/>
            <w:tcBorders>
              <w:top w:val="nil"/>
              <w:left w:val="single" w:sz="4" w:space="0" w:color="auto"/>
              <w:bottom w:val="nil"/>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总面积（亩）</w:t>
            </w:r>
          </w:p>
        </w:tc>
        <w:tc>
          <w:tcPr>
            <w:tcW w:w="980" w:type="dxa"/>
            <w:vMerge w:val="restart"/>
            <w:tcBorders>
              <w:top w:val="nil"/>
              <w:left w:val="single" w:sz="4" w:space="0" w:color="auto"/>
              <w:bottom w:val="nil"/>
              <w:right w:val="single" w:sz="4" w:space="0" w:color="auto"/>
            </w:tcBorders>
            <w:vAlign w:val="center"/>
          </w:tcPr>
          <w:p w:rsidR="009A61A8" w:rsidRPr="00676569" w:rsidRDefault="009A61A8" w:rsidP="00676569">
            <w:pPr>
              <w:widowControl/>
              <w:jc w:val="center"/>
              <w:rPr>
                <w:rFonts w:ascii="宋体"/>
                <w:b/>
                <w:bCs/>
                <w:color w:val="000000"/>
                <w:kern w:val="0"/>
                <w:sz w:val="22"/>
                <w:szCs w:val="22"/>
              </w:rPr>
            </w:pPr>
            <w:r w:rsidRPr="00676569">
              <w:rPr>
                <w:rFonts w:ascii="宋体" w:hAnsi="宋体" w:cs="宋体" w:hint="eastAsia"/>
                <w:b/>
                <w:bCs/>
                <w:color w:val="000000"/>
                <w:kern w:val="0"/>
                <w:sz w:val="22"/>
                <w:szCs w:val="22"/>
              </w:rPr>
              <w:t>耕地面积（亩）</w:t>
            </w:r>
          </w:p>
        </w:tc>
        <w:tc>
          <w:tcPr>
            <w:tcW w:w="8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8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r>
      <w:tr w:rsidR="009A61A8" w:rsidRPr="00676569">
        <w:trPr>
          <w:trHeight w:val="582"/>
        </w:trPr>
        <w:tc>
          <w:tcPr>
            <w:tcW w:w="838"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158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12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206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879" w:type="dxa"/>
            <w:vMerge/>
            <w:tcBorders>
              <w:top w:val="nil"/>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980" w:type="dxa"/>
            <w:vMerge/>
            <w:tcBorders>
              <w:top w:val="nil"/>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8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820" w:type="dxa"/>
            <w:vMerge/>
            <w:tcBorders>
              <w:top w:val="single" w:sz="4" w:space="0" w:color="auto"/>
              <w:left w:val="single" w:sz="4" w:space="0" w:color="auto"/>
              <w:bottom w:val="nil"/>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9A61A8" w:rsidRPr="00676569" w:rsidRDefault="009A61A8" w:rsidP="00676569">
            <w:pPr>
              <w:widowControl/>
              <w:jc w:val="left"/>
              <w:rPr>
                <w:rFonts w:ascii="宋体"/>
                <w:b/>
                <w:bCs/>
                <w:color w:val="000000"/>
                <w:kern w:val="0"/>
                <w:sz w:val="22"/>
                <w:szCs w:val="22"/>
              </w:rPr>
            </w:pPr>
          </w:p>
        </w:tc>
      </w:tr>
      <w:tr w:rsidR="009A61A8" w:rsidRPr="00676569">
        <w:trPr>
          <w:trHeight w:val="679"/>
        </w:trPr>
        <w:tc>
          <w:tcPr>
            <w:tcW w:w="838" w:type="dxa"/>
            <w:tcBorders>
              <w:top w:val="single" w:sz="4" w:space="0" w:color="auto"/>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679"/>
        </w:trPr>
        <w:tc>
          <w:tcPr>
            <w:tcW w:w="838" w:type="dxa"/>
            <w:tcBorders>
              <w:top w:val="nil"/>
              <w:left w:val="single" w:sz="4" w:space="0" w:color="auto"/>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702"/>
        </w:trPr>
        <w:tc>
          <w:tcPr>
            <w:tcW w:w="838" w:type="dxa"/>
            <w:tcBorders>
              <w:top w:val="single" w:sz="4" w:space="0" w:color="auto"/>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702"/>
        </w:trPr>
        <w:tc>
          <w:tcPr>
            <w:tcW w:w="838" w:type="dxa"/>
            <w:tcBorders>
              <w:top w:val="nil"/>
              <w:left w:val="single" w:sz="4" w:space="0" w:color="auto"/>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nil"/>
              <w:left w:val="nil"/>
              <w:bottom w:val="nil"/>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r w:rsidR="009A61A8" w:rsidRPr="00676569">
        <w:trPr>
          <w:trHeight w:val="822"/>
        </w:trPr>
        <w:tc>
          <w:tcPr>
            <w:tcW w:w="838" w:type="dxa"/>
            <w:tcBorders>
              <w:top w:val="single" w:sz="4" w:space="0" w:color="auto"/>
              <w:left w:val="single" w:sz="4" w:space="0" w:color="auto"/>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5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12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206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79"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82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c>
          <w:tcPr>
            <w:tcW w:w="980" w:type="dxa"/>
            <w:tcBorders>
              <w:top w:val="single" w:sz="4" w:space="0" w:color="auto"/>
              <w:left w:val="nil"/>
              <w:bottom w:val="single" w:sz="4" w:space="0" w:color="auto"/>
              <w:right w:val="single" w:sz="4" w:space="0" w:color="auto"/>
            </w:tcBorders>
            <w:noWrap/>
            <w:vAlign w:val="center"/>
          </w:tcPr>
          <w:p w:rsidR="009A61A8" w:rsidRPr="00676569" w:rsidRDefault="009A61A8" w:rsidP="00676569">
            <w:pPr>
              <w:widowControl/>
              <w:jc w:val="left"/>
              <w:rPr>
                <w:rFonts w:ascii="宋体"/>
                <w:color w:val="000000"/>
                <w:kern w:val="0"/>
                <w:sz w:val="22"/>
                <w:szCs w:val="22"/>
              </w:rPr>
            </w:pPr>
            <w:r w:rsidRPr="00676569">
              <w:rPr>
                <w:rFonts w:ascii="宋体" w:hAnsi="宋体" w:cs="宋体" w:hint="eastAsia"/>
                <w:color w:val="000000"/>
                <w:kern w:val="0"/>
                <w:sz w:val="22"/>
                <w:szCs w:val="22"/>
              </w:rPr>
              <w:t xml:space="preserve">　</w:t>
            </w:r>
          </w:p>
        </w:tc>
      </w:tr>
    </w:tbl>
    <w:p w:rsidR="009A61A8" w:rsidRDefault="009A61A8" w:rsidP="009A61A8">
      <w:pPr>
        <w:spacing w:line="600" w:lineRule="exact"/>
        <w:ind w:firstLineChars="150" w:firstLine="31680"/>
        <w:rPr>
          <w:rFonts w:ascii="仿宋_GB2312" w:eastAsia="仿宋_GB2312"/>
          <w:spacing w:val="-20"/>
          <w:sz w:val="32"/>
          <w:szCs w:val="32"/>
        </w:rPr>
      </w:pPr>
    </w:p>
    <w:p w:rsidR="009A61A8" w:rsidRDefault="009A61A8" w:rsidP="00825092">
      <w:pPr>
        <w:spacing w:line="600" w:lineRule="exact"/>
        <w:ind w:firstLineChars="150" w:firstLine="31680"/>
        <w:rPr>
          <w:rFonts w:ascii="仿宋_GB2312" w:eastAsia="仿宋_GB2312"/>
          <w:spacing w:val="-20"/>
          <w:sz w:val="32"/>
          <w:szCs w:val="32"/>
        </w:rPr>
        <w:sectPr w:rsidR="009A61A8" w:rsidSect="00CE57A9">
          <w:headerReference w:type="default" r:id="rId7"/>
          <w:footerReference w:type="even" r:id="rId8"/>
          <w:footerReference w:type="default" r:id="rId9"/>
          <w:pgSz w:w="11907" w:h="16840"/>
          <w:pgMar w:top="2098" w:right="1531" w:bottom="1985" w:left="1531" w:header="851" w:footer="992" w:gutter="0"/>
          <w:cols w:space="720"/>
          <w:docGrid w:type="lines" w:linePitch="315"/>
        </w:sectPr>
      </w:pPr>
    </w:p>
    <w:p w:rsidR="009A61A8" w:rsidRPr="009252F4" w:rsidRDefault="009A61A8" w:rsidP="00825092">
      <w:pPr>
        <w:spacing w:line="600" w:lineRule="exact"/>
        <w:ind w:firstLineChars="150" w:firstLine="31680"/>
        <w:rPr>
          <w:rFonts w:eastAsia="黑体"/>
          <w:spacing w:val="-20"/>
          <w:sz w:val="32"/>
          <w:szCs w:val="32"/>
        </w:rPr>
      </w:pPr>
      <w:r w:rsidRPr="00676569">
        <w:rPr>
          <w:rFonts w:ascii="黑体" w:eastAsia="黑体" w:cs="黑体" w:hint="eastAsia"/>
          <w:spacing w:val="-20"/>
          <w:sz w:val="32"/>
          <w:szCs w:val="32"/>
        </w:rPr>
        <w:t>附</w:t>
      </w:r>
      <w:r>
        <w:rPr>
          <w:rFonts w:ascii="黑体" w:eastAsia="黑体" w:cs="黑体" w:hint="eastAsia"/>
          <w:spacing w:val="-20"/>
          <w:sz w:val="32"/>
          <w:szCs w:val="32"/>
        </w:rPr>
        <w:t>表</w:t>
      </w:r>
      <w:r w:rsidRPr="009252F4">
        <w:rPr>
          <w:rFonts w:eastAsia="黑体"/>
          <w:spacing w:val="-20"/>
          <w:sz w:val="32"/>
          <w:szCs w:val="32"/>
        </w:rPr>
        <w:t>2</w:t>
      </w:r>
    </w:p>
    <w:p w:rsidR="009A61A8" w:rsidRDefault="009A61A8" w:rsidP="00825092">
      <w:pPr>
        <w:spacing w:line="600" w:lineRule="exact"/>
        <w:ind w:firstLineChars="150" w:firstLine="31680"/>
        <w:jc w:val="center"/>
        <w:rPr>
          <w:rFonts w:ascii="方正小标宋简体" w:eastAsia="方正小标宋简体"/>
          <w:sz w:val="44"/>
          <w:szCs w:val="44"/>
        </w:rPr>
      </w:pPr>
      <w:r w:rsidRPr="00676569">
        <w:rPr>
          <w:rFonts w:ascii="方正小标宋简体" w:eastAsia="方正小标宋简体" w:cs="方正小标宋简体" w:hint="eastAsia"/>
          <w:sz w:val="44"/>
          <w:szCs w:val="44"/>
        </w:rPr>
        <w:t>醴陵市烟花爆竹、加油（气）站等危险品生产企业</w:t>
      </w:r>
    </w:p>
    <w:p w:rsidR="009A61A8" w:rsidRDefault="009A61A8" w:rsidP="00825092">
      <w:pPr>
        <w:spacing w:line="600" w:lineRule="exact"/>
        <w:ind w:firstLineChars="150" w:firstLine="31680"/>
        <w:jc w:val="center"/>
        <w:rPr>
          <w:rFonts w:ascii="方正小标宋简体" w:eastAsia="方正小标宋简体"/>
          <w:sz w:val="44"/>
          <w:szCs w:val="44"/>
        </w:rPr>
      </w:pPr>
      <w:r w:rsidRPr="00676569">
        <w:rPr>
          <w:rFonts w:ascii="方正小标宋简体" w:eastAsia="方正小标宋简体" w:cs="方正小标宋简体" w:hint="eastAsia"/>
          <w:sz w:val="44"/>
          <w:szCs w:val="44"/>
        </w:rPr>
        <w:t>违法用地清理情况统计表</w:t>
      </w:r>
    </w:p>
    <w:p w:rsidR="009A61A8" w:rsidRDefault="009A61A8" w:rsidP="00825092">
      <w:pPr>
        <w:spacing w:line="600" w:lineRule="exact"/>
        <w:ind w:firstLineChars="150" w:firstLine="31680"/>
        <w:rPr>
          <w:rFonts w:ascii="仿宋_GB2312" w:eastAsia="仿宋_GB2312"/>
          <w:sz w:val="32"/>
          <w:szCs w:val="32"/>
        </w:rPr>
      </w:pPr>
      <w:r w:rsidRPr="00676569">
        <w:rPr>
          <w:rFonts w:ascii="仿宋_GB2312" w:eastAsia="仿宋_GB2312" w:cs="仿宋_GB2312" w:hint="eastAsia"/>
          <w:sz w:val="32"/>
          <w:szCs w:val="32"/>
        </w:rPr>
        <w:t>填报单位：</w:t>
      </w:r>
    </w:p>
    <w:tbl>
      <w:tblPr>
        <w:tblW w:w="13970" w:type="dxa"/>
        <w:jc w:val="center"/>
        <w:tblLayout w:type="fixed"/>
        <w:tblLook w:val="0000"/>
      </w:tblPr>
      <w:tblGrid>
        <w:gridCol w:w="555"/>
        <w:gridCol w:w="1436"/>
        <w:gridCol w:w="1495"/>
        <w:gridCol w:w="1663"/>
        <w:gridCol w:w="819"/>
        <w:gridCol w:w="819"/>
        <w:gridCol w:w="623"/>
        <w:gridCol w:w="812"/>
        <w:gridCol w:w="774"/>
        <w:gridCol w:w="608"/>
        <w:gridCol w:w="767"/>
        <w:gridCol w:w="859"/>
        <w:gridCol w:w="819"/>
        <w:gridCol w:w="819"/>
        <w:gridCol w:w="1102"/>
      </w:tblGrid>
      <w:tr w:rsidR="009A61A8" w:rsidRPr="00C909E3">
        <w:trPr>
          <w:trHeight w:val="480"/>
          <w:jc w:val="center"/>
        </w:trPr>
        <w:tc>
          <w:tcPr>
            <w:tcW w:w="555" w:type="dxa"/>
            <w:vMerge w:val="restart"/>
            <w:tcBorders>
              <w:top w:val="single" w:sz="4" w:space="0" w:color="auto"/>
              <w:left w:val="single" w:sz="4" w:space="0" w:color="auto"/>
              <w:bottom w:val="single" w:sz="4" w:space="0" w:color="000000"/>
              <w:right w:val="single" w:sz="4" w:space="0" w:color="auto"/>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序号</w:t>
            </w:r>
          </w:p>
        </w:tc>
        <w:tc>
          <w:tcPr>
            <w:tcW w:w="1436" w:type="dxa"/>
            <w:vMerge w:val="restart"/>
            <w:tcBorders>
              <w:top w:val="single" w:sz="4" w:space="0" w:color="auto"/>
              <w:left w:val="single" w:sz="4" w:space="0" w:color="auto"/>
              <w:bottom w:val="single" w:sz="4" w:space="0" w:color="000000"/>
              <w:right w:val="single" w:sz="4" w:space="0" w:color="auto"/>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项目名称</w:t>
            </w:r>
          </w:p>
        </w:tc>
        <w:tc>
          <w:tcPr>
            <w:tcW w:w="1495" w:type="dxa"/>
            <w:vMerge w:val="restart"/>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违法单位</w:t>
            </w:r>
            <w:r w:rsidRPr="00C909E3">
              <w:rPr>
                <w:rFonts w:ascii="宋体" w:hAnsi="宋体" w:cs="宋体"/>
                <w:b/>
                <w:bCs/>
                <w:kern w:val="0"/>
                <w:sz w:val="20"/>
                <w:szCs w:val="20"/>
              </w:rPr>
              <w:t xml:space="preserve">   </w:t>
            </w:r>
            <w:r w:rsidRPr="00C909E3">
              <w:rPr>
                <w:rFonts w:ascii="宋体" w:hAnsi="宋体" w:cs="宋体" w:hint="eastAsia"/>
                <w:b/>
                <w:bCs/>
                <w:kern w:val="0"/>
                <w:sz w:val="20"/>
                <w:szCs w:val="20"/>
              </w:rPr>
              <w:t>（或个人）</w:t>
            </w:r>
          </w:p>
        </w:tc>
        <w:tc>
          <w:tcPr>
            <w:tcW w:w="1663" w:type="dxa"/>
            <w:vMerge w:val="restart"/>
            <w:tcBorders>
              <w:top w:val="single" w:sz="4" w:space="0" w:color="auto"/>
              <w:left w:val="single" w:sz="4" w:space="0" w:color="auto"/>
              <w:bottom w:val="single" w:sz="4" w:space="0" w:color="000000"/>
              <w:right w:val="single" w:sz="4" w:space="0" w:color="auto"/>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座落位置</w:t>
            </w:r>
          </w:p>
        </w:tc>
        <w:tc>
          <w:tcPr>
            <w:tcW w:w="1638" w:type="dxa"/>
            <w:gridSpan w:val="2"/>
            <w:tcBorders>
              <w:top w:val="single" w:sz="4" w:space="0" w:color="auto"/>
              <w:left w:val="nil"/>
              <w:bottom w:val="single" w:sz="4" w:space="0" w:color="auto"/>
              <w:right w:val="single" w:sz="4" w:space="0" w:color="000000"/>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面积</w:t>
            </w:r>
          </w:p>
        </w:tc>
        <w:tc>
          <w:tcPr>
            <w:tcW w:w="2209" w:type="dxa"/>
            <w:gridSpan w:val="3"/>
            <w:tcBorders>
              <w:top w:val="single" w:sz="4" w:space="0" w:color="auto"/>
              <w:left w:val="nil"/>
              <w:bottom w:val="single" w:sz="4" w:space="0" w:color="auto"/>
              <w:right w:val="single" w:sz="4" w:space="0" w:color="auto"/>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违法类型</w:t>
            </w:r>
          </w:p>
        </w:tc>
        <w:tc>
          <w:tcPr>
            <w:tcW w:w="3872" w:type="dxa"/>
            <w:gridSpan w:val="5"/>
            <w:tcBorders>
              <w:top w:val="single" w:sz="4" w:space="0" w:color="auto"/>
              <w:left w:val="nil"/>
              <w:bottom w:val="single" w:sz="4" w:space="0" w:color="auto"/>
              <w:right w:val="single" w:sz="4" w:space="0" w:color="auto"/>
            </w:tcBorders>
            <w:noWrap/>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立案查处及落实情况</w:t>
            </w:r>
          </w:p>
        </w:tc>
        <w:tc>
          <w:tcPr>
            <w:tcW w:w="1102" w:type="dxa"/>
            <w:vMerge w:val="restart"/>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备</w:t>
            </w:r>
            <w:r w:rsidRPr="00C909E3">
              <w:rPr>
                <w:rFonts w:ascii="宋体" w:hAnsi="宋体" w:cs="宋体"/>
                <w:b/>
                <w:bCs/>
                <w:kern w:val="0"/>
                <w:sz w:val="20"/>
                <w:szCs w:val="20"/>
              </w:rPr>
              <w:t xml:space="preserve">  </w:t>
            </w:r>
            <w:r w:rsidRPr="00C909E3">
              <w:rPr>
                <w:rFonts w:ascii="宋体" w:hAnsi="宋体" w:cs="宋体" w:hint="eastAsia"/>
                <w:b/>
                <w:bCs/>
                <w:kern w:val="0"/>
                <w:sz w:val="20"/>
                <w:szCs w:val="20"/>
              </w:rPr>
              <w:t>注</w:t>
            </w:r>
          </w:p>
        </w:tc>
      </w:tr>
      <w:tr w:rsidR="009A61A8" w:rsidRPr="00C909E3">
        <w:trPr>
          <w:trHeight w:val="1478"/>
          <w:jc w:val="center"/>
        </w:trPr>
        <w:tc>
          <w:tcPr>
            <w:tcW w:w="555" w:type="dxa"/>
            <w:vMerge/>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p>
        </w:tc>
        <w:tc>
          <w:tcPr>
            <w:tcW w:w="1495" w:type="dxa"/>
            <w:vMerge/>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p>
        </w:tc>
        <w:tc>
          <w:tcPr>
            <w:tcW w:w="1663" w:type="dxa"/>
            <w:vMerge/>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p>
        </w:tc>
        <w:tc>
          <w:tcPr>
            <w:tcW w:w="819"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总面积（亩）</w:t>
            </w:r>
          </w:p>
        </w:tc>
        <w:tc>
          <w:tcPr>
            <w:tcW w:w="819"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其中</w:t>
            </w:r>
            <w:r w:rsidRPr="00C909E3">
              <w:rPr>
                <w:rFonts w:ascii="宋体" w:hAnsi="宋体" w:cs="宋体"/>
                <w:b/>
                <w:bCs/>
                <w:kern w:val="0"/>
                <w:sz w:val="20"/>
                <w:szCs w:val="20"/>
              </w:rPr>
              <w:t xml:space="preserve">   </w:t>
            </w:r>
            <w:r w:rsidRPr="00C909E3">
              <w:rPr>
                <w:rFonts w:ascii="宋体" w:hAnsi="宋体" w:cs="宋体" w:hint="eastAsia"/>
                <w:b/>
                <w:bCs/>
                <w:kern w:val="0"/>
                <w:sz w:val="20"/>
                <w:szCs w:val="20"/>
              </w:rPr>
              <w:t>耕地（亩）</w:t>
            </w:r>
          </w:p>
        </w:tc>
        <w:tc>
          <w:tcPr>
            <w:tcW w:w="623"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未报即用</w:t>
            </w:r>
          </w:p>
        </w:tc>
        <w:tc>
          <w:tcPr>
            <w:tcW w:w="812"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边报边用</w:t>
            </w:r>
          </w:p>
        </w:tc>
        <w:tc>
          <w:tcPr>
            <w:tcW w:w="774"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未供即用</w:t>
            </w:r>
          </w:p>
        </w:tc>
        <w:tc>
          <w:tcPr>
            <w:tcW w:w="608"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是否立案</w:t>
            </w:r>
          </w:p>
        </w:tc>
        <w:tc>
          <w:tcPr>
            <w:tcW w:w="767"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是否下达处罚决定</w:t>
            </w:r>
          </w:p>
        </w:tc>
        <w:tc>
          <w:tcPr>
            <w:tcW w:w="859"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罚款金额（万元）</w:t>
            </w:r>
          </w:p>
        </w:tc>
        <w:tc>
          <w:tcPr>
            <w:tcW w:w="819"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没收建筑物面积（㎡）</w:t>
            </w:r>
          </w:p>
        </w:tc>
        <w:tc>
          <w:tcPr>
            <w:tcW w:w="819" w:type="dxa"/>
            <w:tcBorders>
              <w:top w:val="nil"/>
              <w:left w:val="nil"/>
              <w:bottom w:val="single" w:sz="4" w:space="0" w:color="auto"/>
              <w:right w:val="single" w:sz="4" w:space="0" w:color="auto"/>
            </w:tcBorders>
            <w:vAlign w:val="center"/>
          </w:tcPr>
          <w:p w:rsidR="009A61A8" w:rsidRPr="00C909E3" w:rsidRDefault="009A61A8" w:rsidP="009D6219">
            <w:pPr>
              <w:widowControl/>
              <w:jc w:val="center"/>
              <w:rPr>
                <w:rFonts w:ascii="宋体"/>
                <w:b/>
                <w:bCs/>
                <w:kern w:val="0"/>
                <w:sz w:val="20"/>
                <w:szCs w:val="20"/>
              </w:rPr>
            </w:pPr>
            <w:r w:rsidRPr="00C909E3">
              <w:rPr>
                <w:rFonts w:ascii="宋体" w:hAnsi="宋体" w:cs="宋体" w:hint="eastAsia"/>
                <w:b/>
                <w:bCs/>
                <w:kern w:val="0"/>
                <w:sz w:val="20"/>
                <w:szCs w:val="20"/>
              </w:rPr>
              <w:t>拆除建筑面积（㎡）</w:t>
            </w:r>
          </w:p>
        </w:tc>
        <w:tc>
          <w:tcPr>
            <w:tcW w:w="1102" w:type="dxa"/>
            <w:vMerge/>
            <w:tcBorders>
              <w:top w:val="single" w:sz="4" w:space="0" w:color="auto"/>
              <w:left w:val="single" w:sz="4" w:space="0" w:color="auto"/>
              <w:bottom w:val="single" w:sz="4" w:space="0" w:color="000000"/>
              <w:right w:val="single" w:sz="4" w:space="0" w:color="auto"/>
            </w:tcBorders>
            <w:vAlign w:val="center"/>
          </w:tcPr>
          <w:p w:rsidR="009A61A8" w:rsidRPr="00C909E3" w:rsidRDefault="009A61A8" w:rsidP="009D6219">
            <w:pPr>
              <w:widowControl/>
              <w:jc w:val="center"/>
              <w:rPr>
                <w:rFonts w:ascii="宋体"/>
                <w:b/>
                <w:bCs/>
                <w:kern w:val="0"/>
                <w:sz w:val="20"/>
                <w:szCs w:val="20"/>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r w:rsidR="009A61A8" w:rsidRPr="00C909E3">
        <w:trPr>
          <w:trHeight w:val="522"/>
          <w:jc w:val="center"/>
        </w:trPr>
        <w:tc>
          <w:tcPr>
            <w:tcW w:w="555" w:type="dxa"/>
            <w:tcBorders>
              <w:top w:val="nil"/>
              <w:left w:val="single" w:sz="4" w:space="0" w:color="auto"/>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36"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495"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66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23"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74"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608"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767"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5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819"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c>
          <w:tcPr>
            <w:tcW w:w="1102" w:type="dxa"/>
            <w:tcBorders>
              <w:top w:val="nil"/>
              <w:left w:val="nil"/>
              <w:bottom w:val="single" w:sz="4" w:space="0" w:color="auto"/>
              <w:right w:val="single" w:sz="4" w:space="0" w:color="auto"/>
            </w:tcBorders>
            <w:noWrap/>
            <w:vAlign w:val="center"/>
          </w:tcPr>
          <w:p w:rsidR="009A61A8" w:rsidRPr="00C909E3" w:rsidRDefault="009A61A8" w:rsidP="009D6219">
            <w:pPr>
              <w:widowControl/>
              <w:jc w:val="center"/>
              <w:rPr>
                <w:rFonts w:ascii="宋体"/>
                <w:kern w:val="0"/>
                <w:sz w:val="24"/>
                <w:szCs w:val="24"/>
              </w:rPr>
            </w:pPr>
          </w:p>
        </w:tc>
      </w:tr>
    </w:tbl>
    <w:p w:rsidR="009A61A8" w:rsidRPr="00676569" w:rsidRDefault="009A61A8" w:rsidP="00C909E3">
      <w:pPr>
        <w:spacing w:line="600" w:lineRule="exact"/>
        <w:rPr>
          <w:rFonts w:ascii="仿宋_GB2312" w:eastAsia="仿宋_GB2312"/>
          <w:sz w:val="32"/>
          <w:szCs w:val="32"/>
        </w:rPr>
      </w:pPr>
    </w:p>
    <w:sectPr w:rsidR="009A61A8" w:rsidRPr="00676569" w:rsidSect="00AB54F5">
      <w:pgSz w:w="16840" w:h="11907" w:orient="landscape" w:code="9"/>
      <w:pgMar w:top="1531" w:right="1985" w:bottom="1531" w:left="2098" w:header="851" w:footer="992" w:gutter="0"/>
      <w:cols w:space="720"/>
      <w:docGrid w:type="linesAndChar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1A8" w:rsidRDefault="009A61A8" w:rsidP="00CE57A9">
      <w:r>
        <w:separator/>
      </w:r>
    </w:p>
  </w:endnote>
  <w:endnote w:type="continuationSeparator" w:id="0">
    <w:p w:rsidR="009A61A8" w:rsidRDefault="009A61A8" w:rsidP="00CE57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A8" w:rsidRPr="00AB54F5" w:rsidRDefault="009A61A8" w:rsidP="003D4576">
    <w:pPr>
      <w:pStyle w:val="Footer"/>
      <w:ind w:firstLineChars="50" w:firstLine="31680"/>
      <w:rPr>
        <w:sz w:val="28"/>
        <w:szCs w:val="28"/>
      </w:rPr>
    </w:pPr>
    <w:r w:rsidRPr="00AB54F5">
      <w:rPr>
        <w:sz w:val="28"/>
        <w:szCs w:val="28"/>
      </w:rPr>
      <w:t xml:space="preserve">— </w:t>
    </w:r>
    <w:r w:rsidRPr="00AB54F5">
      <w:rPr>
        <w:rStyle w:val="PageNumber"/>
        <w:sz w:val="28"/>
        <w:szCs w:val="28"/>
      </w:rPr>
      <w:fldChar w:fldCharType="begin"/>
    </w:r>
    <w:r w:rsidRPr="00AB54F5">
      <w:rPr>
        <w:rStyle w:val="PageNumber"/>
        <w:sz w:val="28"/>
        <w:szCs w:val="28"/>
      </w:rPr>
      <w:instrText xml:space="preserve"> PAGE </w:instrText>
    </w:r>
    <w:r w:rsidRPr="00AB54F5">
      <w:rPr>
        <w:rStyle w:val="PageNumber"/>
        <w:sz w:val="28"/>
        <w:szCs w:val="28"/>
      </w:rPr>
      <w:fldChar w:fldCharType="separate"/>
    </w:r>
    <w:r>
      <w:rPr>
        <w:rStyle w:val="PageNumber"/>
        <w:noProof/>
        <w:sz w:val="28"/>
        <w:szCs w:val="28"/>
      </w:rPr>
      <w:t>2</w:t>
    </w:r>
    <w:r w:rsidRPr="00AB54F5">
      <w:rPr>
        <w:rStyle w:val="PageNumber"/>
        <w:sz w:val="28"/>
        <w:szCs w:val="28"/>
      </w:rPr>
      <w:fldChar w:fldCharType="end"/>
    </w:r>
    <w:r w:rsidRPr="00AB54F5">
      <w:rPr>
        <w:rStyle w:val="PageNumbe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A8" w:rsidRPr="00AB54F5" w:rsidRDefault="009A61A8" w:rsidP="003D4576">
    <w:pPr>
      <w:pStyle w:val="Footer"/>
      <w:tabs>
        <w:tab w:val="clear" w:pos="4153"/>
        <w:tab w:val="clear" w:pos="8306"/>
      </w:tabs>
      <w:ind w:firstLineChars="2800" w:firstLine="31680"/>
      <w:rPr>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next-textbox:#_x0000_s2049;mso-fit-shape-to-text:t" inset="0,0,0,0">
            <w:txbxContent>
              <w:p w:rsidR="009A61A8" w:rsidRDefault="009A61A8">
                <w:pPr>
                  <w:snapToGrid w:val="0"/>
                  <w:rPr>
                    <w:sz w:val="18"/>
                    <w:szCs w:val="18"/>
                  </w:rPr>
                </w:pPr>
              </w:p>
            </w:txbxContent>
          </v:textbox>
          <w10:wrap anchorx="margin"/>
        </v:shape>
      </w:pict>
    </w:r>
    <w:r w:rsidRPr="00AB54F5">
      <w:rPr>
        <w:sz w:val="28"/>
        <w:szCs w:val="28"/>
      </w:rPr>
      <w:t xml:space="preserve">— </w:t>
    </w:r>
    <w:r w:rsidRPr="00AB54F5">
      <w:rPr>
        <w:rStyle w:val="PageNumber"/>
        <w:sz w:val="28"/>
        <w:szCs w:val="28"/>
      </w:rPr>
      <w:fldChar w:fldCharType="begin"/>
    </w:r>
    <w:r w:rsidRPr="00AB54F5">
      <w:rPr>
        <w:rStyle w:val="PageNumber"/>
        <w:sz w:val="28"/>
        <w:szCs w:val="28"/>
      </w:rPr>
      <w:instrText xml:space="preserve"> PAGE </w:instrText>
    </w:r>
    <w:r w:rsidRPr="00AB54F5">
      <w:rPr>
        <w:rStyle w:val="PageNumber"/>
        <w:sz w:val="28"/>
        <w:szCs w:val="28"/>
      </w:rPr>
      <w:fldChar w:fldCharType="separate"/>
    </w:r>
    <w:r>
      <w:rPr>
        <w:rStyle w:val="PageNumber"/>
        <w:noProof/>
        <w:sz w:val="28"/>
        <w:szCs w:val="28"/>
      </w:rPr>
      <w:t>1</w:t>
    </w:r>
    <w:r w:rsidRPr="00AB54F5">
      <w:rPr>
        <w:rStyle w:val="PageNumber"/>
        <w:sz w:val="28"/>
        <w:szCs w:val="28"/>
      </w:rPr>
      <w:fldChar w:fldCharType="end"/>
    </w:r>
    <w:r w:rsidRPr="00AB54F5">
      <w:rPr>
        <w:rStyle w:val="PageNumbe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1A8" w:rsidRDefault="009A61A8" w:rsidP="00CE57A9">
      <w:r>
        <w:separator/>
      </w:r>
    </w:p>
  </w:footnote>
  <w:footnote w:type="continuationSeparator" w:id="0">
    <w:p w:rsidR="009A61A8" w:rsidRDefault="009A61A8" w:rsidP="00CE5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A8" w:rsidRDefault="009A61A8">
    <w:pPr>
      <w:pStyle w:val="Header"/>
      <w:tabs>
        <w:tab w:val="clear" w:pos="4153"/>
        <w:tab w:val="clear"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5E737A"/>
    <w:rsid w:val="0018706B"/>
    <w:rsid w:val="00242DA2"/>
    <w:rsid w:val="003D4576"/>
    <w:rsid w:val="00484570"/>
    <w:rsid w:val="004C705F"/>
    <w:rsid w:val="0060259E"/>
    <w:rsid w:val="00676569"/>
    <w:rsid w:val="00760CBC"/>
    <w:rsid w:val="007D589F"/>
    <w:rsid w:val="00825092"/>
    <w:rsid w:val="009252F4"/>
    <w:rsid w:val="009A61A8"/>
    <w:rsid w:val="009D6219"/>
    <w:rsid w:val="00AB54F5"/>
    <w:rsid w:val="00B03E5B"/>
    <w:rsid w:val="00BD0151"/>
    <w:rsid w:val="00C909E3"/>
    <w:rsid w:val="00CE57A9"/>
    <w:rsid w:val="0A5E737A"/>
    <w:rsid w:val="216F260F"/>
    <w:rsid w:val="52BE74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A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CE57A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styleId="NormalWeb">
    <w:name w:val="Normal (Web)"/>
    <w:basedOn w:val="Normal"/>
    <w:uiPriority w:val="99"/>
    <w:rsid w:val="00CE57A9"/>
    <w:pPr>
      <w:spacing w:beforeAutospacing="1" w:afterAutospacing="1"/>
      <w:jc w:val="left"/>
    </w:pPr>
    <w:rPr>
      <w:kern w:val="0"/>
      <w:sz w:val="24"/>
      <w:szCs w:val="24"/>
    </w:rPr>
  </w:style>
  <w:style w:type="character" w:styleId="Hyperlink">
    <w:name w:val="Hyperlink"/>
    <w:basedOn w:val="DefaultParagraphFont"/>
    <w:uiPriority w:val="99"/>
    <w:rsid w:val="00CE57A9"/>
    <w:rPr>
      <w:color w:val="0000FF"/>
      <w:u w:val="single"/>
    </w:rPr>
  </w:style>
  <w:style w:type="paragraph" w:styleId="Date">
    <w:name w:val="Date"/>
    <w:basedOn w:val="Normal"/>
    <w:next w:val="Normal"/>
    <w:link w:val="DateChar"/>
    <w:uiPriority w:val="99"/>
    <w:rsid w:val="004C705F"/>
    <w:pPr>
      <w:ind w:leftChars="2500" w:left="100"/>
    </w:pPr>
  </w:style>
  <w:style w:type="character" w:customStyle="1" w:styleId="DateChar">
    <w:name w:val="Date Char"/>
    <w:basedOn w:val="DefaultParagraphFont"/>
    <w:link w:val="Date"/>
    <w:uiPriority w:val="99"/>
    <w:semiHidden/>
    <w:locked/>
    <w:rPr>
      <w:rFonts w:ascii="Times New Roman" w:hAnsi="Times New Roman" w:cs="Times New Roman"/>
      <w:sz w:val="21"/>
      <w:szCs w:val="21"/>
    </w:rPr>
  </w:style>
  <w:style w:type="character" w:styleId="PageNumber">
    <w:name w:val="page number"/>
    <w:basedOn w:val="DefaultParagraphFont"/>
    <w:uiPriority w:val="99"/>
    <w:rsid w:val="00AB54F5"/>
  </w:style>
</w:styles>
</file>

<file path=word/webSettings.xml><?xml version="1.0" encoding="utf-8"?>
<w:webSettings xmlns:r="http://schemas.openxmlformats.org/officeDocument/2006/relationships" xmlns:w="http://schemas.openxmlformats.org/wordprocessingml/2006/main">
  <w:divs>
    <w:div w:id="1704403721">
      <w:marLeft w:val="0"/>
      <w:marRight w:val="0"/>
      <w:marTop w:val="0"/>
      <w:marBottom w:val="0"/>
      <w:divBdr>
        <w:top w:val="none" w:sz="0" w:space="0" w:color="auto"/>
        <w:left w:val="none" w:sz="0" w:space="0" w:color="auto"/>
        <w:bottom w:val="none" w:sz="0" w:space="0" w:color="auto"/>
        <w:right w:val="none" w:sz="0" w:space="0" w:color="auto"/>
      </w:divBdr>
    </w:div>
    <w:div w:id="1704403722">
      <w:marLeft w:val="0"/>
      <w:marRight w:val="0"/>
      <w:marTop w:val="0"/>
      <w:marBottom w:val="0"/>
      <w:divBdr>
        <w:top w:val="none" w:sz="0" w:space="0" w:color="auto"/>
        <w:left w:val="none" w:sz="0" w:space="0" w:color="auto"/>
        <w:bottom w:val="none" w:sz="0" w:space="0" w:color="auto"/>
        <w:right w:val="none" w:sz="0" w:space="0" w:color="auto"/>
      </w:divBdr>
    </w:div>
    <w:div w:id="1704403723">
      <w:marLeft w:val="0"/>
      <w:marRight w:val="0"/>
      <w:marTop w:val="0"/>
      <w:marBottom w:val="0"/>
      <w:divBdr>
        <w:top w:val="none" w:sz="0" w:space="0" w:color="auto"/>
        <w:left w:val="none" w:sz="0" w:space="0" w:color="auto"/>
        <w:bottom w:val="none" w:sz="0" w:space="0" w:color="auto"/>
        <w:right w:val="none" w:sz="0" w:space="0" w:color="auto"/>
      </w:divBdr>
    </w:div>
    <w:div w:id="1704403724">
      <w:marLeft w:val="0"/>
      <w:marRight w:val="0"/>
      <w:marTop w:val="0"/>
      <w:marBottom w:val="0"/>
      <w:divBdr>
        <w:top w:val="none" w:sz="0" w:space="0" w:color="auto"/>
        <w:left w:val="none" w:sz="0" w:space="0" w:color="auto"/>
        <w:bottom w:val="none" w:sz="0" w:space="0" w:color="auto"/>
        <w:right w:val="none" w:sz="0" w:space="0" w:color="auto"/>
      </w:divBdr>
    </w:div>
    <w:div w:id="1704403725">
      <w:marLeft w:val="0"/>
      <w:marRight w:val="0"/>
      <w:marTop w:val="0"/>
      <w:marBottom w:val="0"/>
      <w:divBdr>
        <w:top w:val="none" w:sz="0" w:space="0" w:color="auto"/>
        <w:left w:val="none" w:sz="0" w:space="0" w:color="auto"/>
        <w:bottom w:val="none" w:sz="0" w:space="0" w:color="auto"/>
        <w:right w:val="none" w:sz="0" w:space="0" w:color="auto"/>
      </w:divBdr>
    </w:div>
    <w:div w:id="1704403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5%B0%86%E7%99%BB%E8%AE%B0%E8%A1%A8%E7%94%B5%E5%AD%90%E7%89%88%E4%BB%A5%E9%82%AE%E4%BB%B6%E5%BD%A2%E5%BC%8F%E5%8F%91%E9%80%81%E8%87%B3LJ2008970@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6</Pages>
  <Words>317</Words>
  <Characters>1811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leon</cp:lastModifiedBy>
  <cp:revision>8</cp:revision>
  <cp:lastPrinted>2016-02-29T08:15:00Z</cp:lastPrinted>
  <dcterms:created xsi:type="dcterms:W3CDTF">2016-02-29T00:53:00Z</dcterms:created>
  <dcterms:modified xsi:type="dcterms:W3CDTF">2016-02-29T08:23:00Z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