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Autospacing="0" w:after="0" w:afterAutospacing="0" w:line="600" w:lineRule="exact"/>
        <w:jc w:val="center"/>
        <w:rPr>
          <w:rFonts w:ascii="方正小标宋简体" w:eastAsia="方正小标宋简体"/>
          <w:b w:val="0"/>
          <w:color w:val="222222"/>
          <w:sz w:val="44"/>
          <w:szCs w:val="44"/>
        </w:rPr>
      </w:pPr>
      <w:r>
        <w:rPr>
          <w:rFonts w:hint="eastAsia" w:ascii="方正小标宋简体" w:eastAsia="方正小标宋简体"/>
          <w:b w:val="0"/>
          <w:color w:val="222222"/>
          <w:sz w:val="44"/>
          <w:szCs w:val="44"/>
        </w:rPr>
        <w:t>芦淞区民政局201</w:t>
      </w:r>
      <w:r>
        <w:rPr>
          <w:rFonts w:ascii="方正小标宋简体" w:eastAsia="方正小标宋简体"/>
          <w:b w:val="0"/>
          <w:color w:val="222222"/>
          <w:sz w:val="44"/>
          <w:szCs w:val="44"/>
        </w:rPr>
        <w:t>6</w:t>
      </w:r>
      <w:r>
        <w:rPr>
          <w:rFonts w:hint="eastAsia" w:ascii="方正小标宋简体" w:eastAsia="方正小标宋简体"/>
          <w:b w:val="0"/>
          <w:color w:val="222222"/>
          <w:sz w:val="44"/>
          <w:szCs w:val="44"/>
        </w:rPr>
        <w:t>年部门预算和“三公”经费预算说明</w:t>
      </w:r>
    </w:p>
    <w:p>
      <w:pPr>
        <w:pStyle w:val="3"/>
        <w:shd w:val="clear" w:color="auto" w:fill="FFFFFF"/>
        <w:spacing w:before="0" w:beforeAutospacing="0" w:after="0" w:afterAutospacing="0" w:line="600" w:lineRule="exact"/>
        <w:jc w:val="center"/>
        <w:rPr>
          <w:rFonts w:ascii="仿宋" w:eastAsia="仿宋"/>
          <w:b w:val="0"/>
          <w:color w:val="222222"/>
          <w:sz w:val="32"/>
          <w:szCs w:val="32"/>
        </w:rPr>
      </w:pPr>
    </w:p>
    <w:p>
      <w:pPr>
        <w:shd w:val="clear" w:color="auto" w:fill="FFFFFF"/>
        <w:spacing w:line="600" w:lineRule="exact"/>
        <w:textAlignment w:val="baseline"/>
        <w:rPr>
          <w:rStyle w:val="9"/>
          <w:rFonts w:hint="eastAsia" w:ascii="仿宋" w:eastAsia="仿宋"/>
          <w:b/>
          <w:bCs/>
          <w:color w:val="333333"/>
          <w:sz w:val="32"/>
          <w:szCs w:val="32"/>
          <w:lang w:eastAsia="zh-CN"/>
        </w:rPr>
      </w:pPr>
      <w:r>
        <w:rPr>
          <w:rStyle w:val="9"/>
          <w:rFonts w:hint="eastAsia" w:ascii="仿宋" w:eastAsia="仿宋"/>
          <w:b/>
          <w:bCs/>
          <w:color w:val="333333"/>
          <w:sz w:val="32"/>
          <w:szCs w:val="32"/>
          <w:lang w:eastAsia="zh-CN"/>
        </w:rPr>
        <w:t>一、部门职能职责</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一）贯彻执行有关民政工作的法律、法规、规章和方针、政策；拟订全区救助减灾、社会救助、行政区划、社会福利事业、慈善事业等民政事业发展规划和政策，并组织实施有关地方性法规、规章和规划、政策。</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二）负责全区优抚双拥工作。负责申报和褒扬革命烈士工作；负责优抚对象的伤亡抚恤工作；指导优抚医疗事业单位、光荣院和烈士纪念建筑物保护单位的管理；审核呈报全区国家行政机关工作人员评残工作；组织和指导全区拥军优属、拥政爱民工作；承担区“双拥”工作领导小组办公室的日常工作。</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（三）负责全区退役士兵、转业士官、复员士官的接收安置的日常工作。</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四）组织协调救灾减灾工作；组织自然灾害救助应急体系建设；组织核查、统计、上报灾情工作；筹措、管理和分配救灾款物并监督使用；组织指导救灾捐赠工作；组织救灾物资的储备和发放工作；会同指导灾民开展生产自救。</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（五）负责城乡居民最低生活保障、医疗救助和临时救助工作；负责指导农村“五保户”供养和敬老院建设工作；负责城乡社会救助体系建设工作；负责农村优抚户和贫困户的扶持。</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（六）拟订全区城乡基层群众自治组织建设和社区建设相关制度并组织实施；组织指导城乡社区建设和服务管理工作；推动村（居）务公开和基层民主政治建设；指导基层群众自治组织和社区组织干部的表彰。</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（七）承担依法对区辖社会团体、民办非企业单位的登记管理和监督责任。</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（八）配合市民政局开展殡葬改革工作；负责区辖范围内婚姻、收养登记管理工作；配合有关部门保护妇女儿童的合法权益；协助市民政局做好流浪乞讨人员的临时救助工作。</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（九）负责行政区域界线的勘定和管理工作；负责本区行政区划和地名管理工作；组织建立、管理地名信息资料和档案。</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（十）指导全区社会福利机构的建设和管理；指导孤儿等特殊群体的权益保障工作；指导和监督社会福利资金的管理使用；组织指导社会捐助工作；负责申报社会福利企业。</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（十一）承担区老龄工作委员会办公室、老年人体育协会日常工作。</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（十二）负责指导协调全区维护老年人权益保障的工作。</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（十三）承担区慈善会办公室日常工作，负责全区慈善事业发展规划的拟定，负责组织慈善捐助。</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（十四）负责全区社会工作人才队伍建设和相关志愿者队伍建设。</w:t>
      </w:r>
    </w:p>
    <w:p>
      <w:pPr>
        <w:shd w:val="clear" w:color="auto" w:fill="FFFFFF"/>
        <w:spacing w:line="600" w:lineRule="exact"/>
        <w:ind w:firstLine="420"/>
        <w:textAlignment w:val="baseline"/>
        <w:rPr>
          <w:rStyle w:val="9"/>
          <w:rFonts w:ascii="仿宋" w:eastAsia="仿宋"/>
          <w:b w:val="0"/>
          <w:color w:val="333333"/>
          <w:sz w:val="32"/>
          <w:szCs w:val="32"/>
        </w:rPr>
      </w:pPr>
      <w:r>
        <w:rPr>
          <w:rStyle w:val="9"/>
          <w:rFonts w:ascii="仿宋" w:eastAsia="仿宋"/>
          <w:b w:val="0"/>
          <w:color w:val="333333"/>
          <w:sz w:val="32"/>
          <w:szCs w:val="32"/>
        </w:rPr>
        <w:t>（十五）承办区委、区政府和上级部门交办的其他工作。</w:t>
      </w:r>
    </w:p>
    <w:p>
      <w:pPr>
        <w:shd w:val="clear" w:color="auto" w:fill="FFFFFF"/>
        <w:spacing w:line="600" w:lineRule="exact"/>
        <w:textAlignment w:val="baseline"/>
        <w:rPr>
          <w:rStyle w:val="9"/>
          <w:rFonts w:hint="eastAsia" w:ascii="仿宋" w:eastAsia="仿宋"/>
          <w:b/>
          <w:bCs/>
          <w:color w:val="333333"/>
          <w:sz w:val="32"/>
          <w:szCs w:val="32"/>
          <w:lang w:eastAsia="zh-CN"/>
        </w:rPr>
      </w:pPr>
      <w:r>
        <w:rPr>
          <w:rStyle w:val="9"/>
          <w:rFonts w:hint="eastAsia" w:ascii="仿宋" w:eastAsia="仿宋"/>
          <w:b/>
          <w:bCs/>
          <w:color w:val="333333"/>
          <w:sz w:val="32"/>
          <w:szCs w:val="32"/>
          <w:lang w:eastAsia="zh-CN"/>
        </w:rPr>
        <w:t>二、机构设置情况</w:t>
      </w:r>
    </w:p>
    <w:p>
      <w:pPr>
        <w:shd w:val="clear" w:color="auto" w:fill="FFFFFF"/>
        <w:spacing w:line="600" w:lineRule="exact"/>
        <w:ind w:firstLine="420"/>
        <w:textAlignment w:val="baseline"/>
        <w:rPr>
          <w:rStyle w:val="9"/>
          <w:rFonts w:hint="eastAsia" w:ascii="仿宋" w:eastAsia="仿宋"/>
          <w:b w:val="0"/>
          <w:color w:val="333333"/>
          <w:sz w:val="32"/>
          <w:szCs w:val="32"/>
          <w:lang w:eastAsia="zh-CN"/>
        </w:rPr>
      </w:pPr>
      <w:r>
        <w:rPr>
          <w:rStyle w:val="9"/>
          <w:rFonts w:hint="eastAsia" w:ascii="仿宋" w:eastAsia="仿宋"/>
          <w:b w:val="0"/>
          <w:color w:val="333333"/>
          <w:sz w:val="32"/>
          <w:szCs w:val="32"/>
          <w:lang w:eastAsia="zh-CN"/>
        </w:rPr>
        <w:t>芦淞区民政局为区级一级预算单位，下设老龄委、老科协、老体协、慈善办</w:t>
      </w:r>
      <w:r>
        <w:rPr>
          <w:rStyle w:val="9"/>
          <w:rFonts w:hint="eastAsia" w:ascii="仿宋" w:eastAsia="仿宋"/>
          <w:b w:val="0"/>
          <w:color w:val="333333"/>
          <w:sz w:val="32"/>
          <w:szCs w:val="32"/>
          <w:lang w:val="en-US" w:eastAsia="zh-CN"/>
        </w:rPr>
        <w:t>4个未单独核算的二级机构。现有在职人员19人，离休1人，退休11人，临聘2人。</w:t>
      </w:r>
    </w:p>
    <w:p>
      <w:pPr>
        <w:shd w:val="clear" w:color="auto" w:fill="FFFFFF"/>
        <w:spacing w:line="600" w:lineRule="exact"/>
        <w:textAlignment w:val="baseline"/>
        <w:rPr>
          <w:rStyle w:val="9"/>
          <w:rFonts w:hint="eastAsia" w:ascii="仿宋" w:eastAsia="仿宋"/>
          <w:b/>
          <w:bCs/>
          <w:color w:val="333333"/>
          <w:sz w:val="32"/>
          <w:szCs w:val="32"/>
          <w:lang w:eastAsia="zh-CN"/>
        </w:rPr>
      </w:pPr>
      <w:r>
        <w:rPr>
          <w:rStyle w:val="9"/>
          <w:rFonts w:hint="eastAsia" w:ascii="仿宋" w:eastAsia="仿宋"/>
          <w:b/>
          <w:bCs/>
          <w:color w:val="333333"/>
          <w:sz w:val="32"/>
          <w:szCs w:val="32"/>
          <w:lang w:eastAsia="zh-CN"/>
        </w:rPr>
        <w:t>三、部门收支概况</w:t>
      </w:r>
    </w:p>
    <w:p>
      <w:pPr>
        <w:shd w:val="clear" w:color="auto" w:fill="FFFFFF"/>
        <w:spacing w:line="600" w:lineRule="exact"/>
        <w:ind w:firstLine="420"/>
        <w:textAlignment w:val="baseline"/>
        <w:rPr>
          <w:rStyle w:val="9"/>
          <w:rFonts w:ascii="仿宋" w:eastAsia="仿宋"/>
          <w:b w:val="0"/>
          <w:color w:val="333333"/>
          <w:sz w:val="32"/>
          <w:szCs w:val="32"/>
        </w:rPr>
      </w:pPr>
      <w:r>
        <w:rPr>
          <w:rFonts w:hint="eastAsia" w:ascii="仿宋" w:eastAsia="仿宋"/>
          <w:color w:val="333333"/>
          <w:sz w:val="32"/>
          <w:szCs w:val="32"/>
        </w:rPr>
        <w:t>201</w:t>
      </w:r>
      <w:r>
        <w:rPr>
          <w:rFonts w:ascii="仿宋" w:eastAsia="仿宋"/>
          <w:color w:val="333333"/>
          <w:sz w:val="32"/>
          <w:szCs w:val="32"/>
        </w:rPr>
        <w:t>6</w:t>
      </w:r>
      <w:r>
        <w:rPr>
          <w:rFonts w:hint="eastAsia" w:ascii="仿宋" w:eastAsia="仿宋"/>
          <w:color w:val="333333"/>
          <w:sz w:val="32"/>
          <w:szCs w:val="32"/>
        </w:rPr>
        <w:t>年部门预算编报范围（含下级机构芦淞区老龄委、老科协），收入包括公共预算；支出既包括单位基本运行的经费，也包括城乡最低生活保障金、城乡义务兵家属优待金、城乡医疗救助金、优抚安置及老龄委、老年体协、老年科协等</w:t>
      </w:r>
      <w:r>
        <w:rPr>
          <w:rFonts w:hint="eastAsia" w:ascii="仿宋" w:eastAsia="仿宋"/>
          <w:color w:val="333333"/>
          <w:sz w:val="32"/>
          <w:szCs w:val="32"/>
          <w:lang w:eastAsia="zh-CN"/>
        </w:rPr>
        <w:t>一般</w:t>
      </w:r>
      <w:r>
        <w:rPr>
          <w:rFonts w:hint="eastAsia" w:ascii="仿宋" w:eastAsia="仿宋"/>
          <w:color w:val="333333"/>
          <w:sz w:val="32"/>
          <w:szCs w:val="32"/>
        </w:rPr>
        <w:t>专项经费。</w:t>
      </w:r>
    </w:p>
    <w:p>
      <w:pPr>
        <w:numPr>
          <w:ilvl w:val="0"/>
          <w:numId w:val="1"/>
        </w:numPr>
        <w:shd w:val="clear" w:color="auto" w:fill="FFFFFF"/>
        <w:spacing w:line="600" w:lineRule="exact"/>
        <w:textAlignment w:val="baseline"/>
        <w:rPr>
          <w:rFonts w:hint="eastAsia" w:ascii="仿宋" w:eastAsia="仿宋"/>
          <w:color w:val="333333"/>
          <w:sz w:val="32"/>
          <w:szCs w:val="32"/>
        </w:rPr>
      </w:pPr>
      <w:r>
        <w:rPr>
          <w:rFonts w:hint="eastAsia" w:ascii="仿宋" w:eastAsia="仿宋"/>
          <w:color w:val="333333"/>
          <w:sz w:val="32"/>
          <w:szCs w:val="32"/>
        </w:rPr>
        <w:t>收入预算，201</w:t>
      </w:r>
      <w:r>
        <w:rPr>
          <w:rFonts w:ascii="仿宋" w:eastAsia="仿宋"/>
          <w:color w:val="333333"/>
          <w:sz w:val="32"/>
          <w:szCs w:val="32"/>
        </w:rPr>
        <w:t>6</w:t>
      </w:r>
      <w:r>
        <w:rPr>
          <w:rFonts w:hint="eastAsia" w:ascii="仿宋" w:eastAsia="仿宋"/>
          <w:color w:val="333333"/>
          <w:sz w:val="32"/>
          <w:szCs w:val="32"/>
        </w:rPr>
        <w:t>年年初预算数202.3587万元。</w:t>
      </w:r>
    </w:p>
    <w:p>
      <w:pPr>
        <w:numPr>
          <w:ilvl w:val="0"/>
          <w:numId w:val="1"/>
        </w:numPr>
        <w:shd w:val="clear" w:color="auto" w:fill="FFFFFF"/>
        <w:spacing w:line="600" w:lineRule="exact"/>
        <w:textAlignment w:val="baseline"/>
        <w:rPr>
          <w:rStyle w:val="9"/>
          <w:rFonts w:ascii="仿宋" w:eastAsia="仿宋"/>
          <w:b w:val="0"/>
          <w:color w:val="333333"/>
          <w:sz w:val="32"/>
          <w:szCs w:val="32"/>
        </w:rPr>
      </w:pPr>
      <w:r>
        <w:rPr>
          <w:rFonts w:hint="eastAsia" w:ascii="仿宋" w:eastAsia="仿宋"/>
          <w:color w:val="333333"/>
          <w:sz w:val="32"/>
          <w:szCs w:val="32"/>
          <w:lang w:eastAsia="zh-CN"/>
        </w:rPr>
        <w:t>支</w:t>
      </w:r>
      <w:r>
        <w:rPr>
          <w:rFonts w:hint="eastAsia" w:ascii="仿宋" w:eastAsia="仿宋"/>
          <w:color w:val="333333"/>
          <w:sz w:val="32"/>
          <w:szCs w:val="32"/>
        </w:rPr>
        <w:t>出预算，201</w:t>
      </w:r>
      <w:r>
        <w:rPr>
          <w:rFonts w:ascii="仿宋" w:eastAsia="仿宋"/>
          <w:color w:val="333333"/>
          <w:sz w:val="32"/>
          <w:szCs w:val="32"/>
        </w:rPr>
        <w:t>6</w:t>
      </w:r>
      <w:r>
        <w:rPr>
          <w:rFonts w:hint="eastAsia" w:ascii="仿宋" w:eastAsia="仿宋"/>
          <w:color w:val="333333"/>
          <w:sz w:val="32"/>
          <w:szCs w:val="32"/>
        </w:rPr>
        <w:t>年年初预算数202.3587万元，</w:t>
      </w:r>
    </w:p>
    <w:p>
      <w:pPr>
        <w:shd w:val="clear" w:color="auto" w:fill="FFFFFF"/>
        <w:spacing w:line="600" w:lineRule="exact"/>
        <w:ind w:firstLine="420"/>
        <w:textAlignment w:val="baseline"/>
        <w:rPr>
          <w:rStyle w:val="9"/>
          <w:rFonts w:ascii="仿宋" w:eastAsia="仿宋"/>
          <w:b w:val="0"/>
          <w:color w:val="333333"/>
          <w:sz w:val="32"/>
          <w:szCs w:val="32"/>
        </w:rPr>
      </w:pPr>
      <w:r>
        <w:rPr>
          <w:rFonts w:hint="eastAsia" w:ascii="仿宋" w:eastAsia="仿宋"/>
          <w:color w:val="333333"/>
          <w:sz w:val="32"/>
          <w:szCs w:val="32"/>
        </w:rPr>
        <w:t>具体安排如下：</w:t>
      </w:r>
    </w:p>
    <w:p>
      <w:pPr>
        <w:shd w:val="clear" w:color="auto" w:fill="FFFFFF"/>
        <w:spacing w:line="600" w:lineRule="exact"/>
        <w:ind w:firstLine="420"/>
        <w:textAlignment w:val="baseline"/>
        <w:rPr>
          <w:rStyle w:val="9"/>
          <w:rFonts w:ascii="仿宋" w:eastAsia="仿宋"/>
          <w:b w:val="0"/>
          <w:color w:val="333333"/>
          <w:sz w:val="32"/>
          <w:szCs w:val="32"/>
        </w:rPr>
      </w:pPr>
      <w:r>
        <w:rPr>
          <w:rFonts w:hint="eastAsia" w:ascii="仿宋" w:eastAsia="仿宋"/>
          <w:color w:val="333333"/>
          <w:sz w:val="32"/>
          <w:szCs w:val="32"/>
        </w:rPr>
        <w:t>1.基本支出：201</w:t>
      </w:r>
      <w:r>
        <w:rPr>
          <w:rFonts w:ascii="仿宋" w:eastAsia="仿宋"/>
          <w:color w:val="333333"/>
          <w:sz w:val="32"/>
          <w:szCs w:val="32"/>
        </w:rPr>
        <w:t>6</w:t>
      </w:r>
      <w:r>
        <w:rPr>
          <w:rFonts w:hint="eastAsia" w:ascii="仿宋" w:eastAsia="仿宋"/>
          <w:color w:val="333333"/>
          <w:sz w:val="32"/>
          <w:szCs w:val="32"/>
        </w:rPr>
        <w:t>年年初预算数为202.3587万元，是指为保障单位机构正常运转、完成日常工作任务而发生的各项支出，包括用于基本工资、津贴补贴等人员经费以及日常公用经费、业务性商品和服务支出。</w:t>
      </w:r>
    </w:p>
    <w:p>
      <w:pPr>
        <w:shd w:val="clear" w:color="auto" w:fill="FFFFFF"/>
        <w:spacing w:line="600" w:lineRule="exact"/>
        <w:ind w:left="160" w:leftChars="76" w:firstLine="259" w:firstLineChars="81"/>
        <w:textAlignment w:val="baseline"/>
        <w:rPr>
          <w:rStyle w:val="9"/>
          <w:rFonts w:ascii="仿宋" w:eastAsia="仿宋"/>
          <w:b w:val="0"/>
          <w:color w:val="333333"/>
          <w:sz w:val="32"/>
          <w:szCs w:val="32"/>
        </w:rPr>
      </w:pPr>
      <w:r>
        <w:rPr>
          <w:rFonts w:hint="eastAsia" w:ascii="仿宋" w:eastAsia="仿宋"/>
          <w:color w:val="333333"/>
          <w:sz w:val="32"/>
          <w:szCs w:val="32"/>
        </w:rPr>
        <w:t>2.项目支出：专项业务费15万元。</w:t>
      </w:r>
      <w:r>
        <w:rPr>
          <w:rStyle w:val="9"/>
          <w:rFonts w:ascii="仿宋" w:eastAsia="仿宋"/>
          <w:b w:val="0"/>
          <w:color w:val="333333"/>
          <w:sz w:val="32"/>
          <w:szCs w:val="32"/>
        </w:rPr>
        <w:t xml:space="preserve"> </w:t>
      </w:r>
    </w:p>
    <w:p>
      <w:pPr>
        <w:shd w:val="clear" w:color="auto" w:fill="FFFFFF"/>
        <w:spacing w:line="600" w:lineRule="exact"/>
        <w:ind w:firstLine="420"/>
        <w:textAlignment w:val="baseline"/>
        <w:rPr>
          <w:rFonts w:ascii="仿宋" w:eastAsia="仿宋"/>
          <w:color w:val="333333"/>
          <w:sz w:val="32"/>
          <w:szCs w:val="32"/>
        </w:rPr>
      </w:pPr>
      <w:r>
        <w:rPr>
          <w:rFonts w:hint="eastAsia" w:ascii="仿宋" w:eastAsia="仿宋"/>
          <w:color w:val="333333"/>
          <w:sz w:val="32"/>
          <w:szCs w:val="32"/>
        </w:rPr>
        <w:t>(三)“三公”经费预算：201</w:t>
      </w:r>
      <w:r>
        <w:rPr>
          <w:rFonts w:ascii="仿宋" w:eastAsia="仿宋"/>
          <w:color w:val="333333"/>
          <w:sz w:val="32"/>
          <w:szCs w:val="32"/>
        </w:rPr>
        <w:t>6</w:t>
      </w:r>
      <w:r>
        <w:rPr>
          <w:rFonts w:hint="eastAsia" w:ascii="仿宋" w:eastAsia="仿宋"/>
          <w:color w:val="333333"/>
          <w:sz w:val="32"/>
          <w:szCs w:val="32"/>
        </w:rPr>
        <w:t>年“三公”经费预算数</w:t>
      </w:r>
      <w:r>
        <w:rPr>
          <w:rFonts w:hint="eastAsia" w:ascii="仿宋" w:eastAsia="仿宋"/>
          <w:color w:val="333333"/>
          <w:sz w:val="32"/>
          <w:szCs w:val="32"/>
          <w:lang w:val="en-US" w:eastAsia="zh-CN"/>
        </w:rPr>
        <w:t>20</w:t>
      </w:r>
      <w:r>
        <w:rPr>
          <w:rFonts w:hint="eastAsia" w:ascii="仿宋" w:eastAsia="仿宋"/>
          <w:color w:val="333333"/>
          <w:sz w:val="32"/>
          <w:szCs w:val="32"/>
        </w:rPr>
        <w:t>万元，其中：公务接待费</w:t>
      </w:r>
      <w:r>
        <w:rPr>
          <w:rFonts w:hint="eastAsia" w:ascii="仿宋" w:eastAsia="仿宋"/>
          <w:color w:val="333333"/>
          <w:sz w:val="32"/>
          <w:szCs w:val="32"/>
          <w:lang w:val="en-US" w:eastAsia="zh-CN"/>
        </w:rPr>
        <w:t>20</w:t>
      </w:r>
      <w:r>
        <w:rPr>
          <w:rFonts w:hint="eastAsia" w:ascii="仿宋" w:eastAsia="仿宋"/>
          <w:color w:val="333333"/>
          <w:sz w:val="32"/>
          <w:szCs w:val="32"/>
        </w:rPr>
        <w:t>万元（含二级机构老龄委、老体协、老科协三个单位）、公务用车运行维护费</w:t>
      </w:r>
      <w:r>
        <w:rPr>
          <w:rFonts w:hint="eastAsia" w:ascii="仿宋" w:eastAsia="仿宋"/>
          <w:color w:val="333333"/>
          <w:sz w:val="32"/>
          <w:szCs w:val="32"/>
          <w:lang w:val="en-US" w:eastAsia="zh-CN"/>
        </w:rPr>
        <w:t>0</w:t>
      </w:r>
      <w:r>
        <w:rPr>
          <w:rFonts w:hint="eastAsia" w:ascii="仿宋" w:eastAsia="仿宋"/>
          <w:color w:val="333333"/>
          <w:sz w:val="32"/>
          <w:szCs w:val="32"/>
        </w:rPr>
        <w:t>元（含二级机构老龄委、老体协、老科协三个单位）。三公经费较去年减少的主要原因是严格贯彻中央八项规定政策，减少了不必要的开支。根据《湖南省公务用车制度改革总体方案》规定除特殊可保留车辆外取消了一般公务用车</w:t>
      </w:r>
      <w:r>
        <w:rPr>
          <w:rFonts w:hint="eastAsia" w:ascii="仿宋" w:eastAsia="仿宋"/>
          <w:color w:val="333333"/>
          <w:sz w:val="32"/>
          <w:szCs w:val="32"/>
          <w:lang w:eastAsia="zh-CN"/>
        </w:rPr>
        <w:t>，年初预算没有安排公务用车经费。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jc w:val="both"/>
        <w:rPr>
          <w:rFonts w:hint="eastAsia" w:ascii="仿宋_GB2312" w:eastAsia="仿宋_GB2312" w:cs="仿宋_GB2312"/>
          <w:b w:val="0"/>
          <w:i w:val="0"/>
          <w:caps w:val="0"/>
          <w:color w:val="000000"/>
          <w:spacing w:val="0"/>
          <w:sz w:val="30"/>
          <w:szCs w:val="30"/>
          <w:shd w:val="clear" w:fill="FFFFFF"/>
          <w:lang w:eastAsia="zh-CN"/>
        </w:rPr>
      </w:pPr>
      <w:r>
        <w:rPr>
          <w:rStyle w:val="9"/>
          <w:rFonts w:hint="eastAsia" w:ascii="仿宋" w:hAnsi="Times New Roman" w:eastAsia="仿宋" w:cs="Times New Roman"/>
          <w:bCs/>
          <w:color w:val="333333"/>
          <w:kern w:val="2"/>
          <w:sz w:val="32"/>
          <w:szCs w:val="32"/>
          <w:lang w:val="en-US" w:eastAsia="zh-CN" w:bidi="ar-SA"/>
        </w:rPr>
        <w:t>四、政府性基金预算支出：</w:t>
      </w:r>
      <w:r>
        <w:rPr>
          <w:rFonts w:hint="eastAsia" w:ascii="仿宋" w:hAnsi="Times New Roman" w:eastAsia="仿宋" w:cs="Times New Roman"/>
          <w:color w:val="333333"/>
          <w:kern w:val="2"/>
          <w:sz w:val="32"/>
          <w:szCs w:val="32"/>
          <w:lang w:val="en-US" w:eastAsia="zh-CN" w:bidi="ar-SA"/>
        </w:rPr>
        <w:t>2016年支出预算数为0</w:t>
      </w:r>
    </w:p>
    <w:p>
      <w:pPr>
        <w:pStyle w:val="3"/>
        <w:shd w:val="clear" w:color="auto" w:fill="FFFFFF"/>
        <w:spacing w:before="0" w:beforeAutospacing="0" w:after="0" w:afterAutospacing="0" w:line="600" w:lineRule="exact"/>
        <w:jc w:val="both"/>
        <w:rPr>
          <w:rFonts w:ascii="仿宋" w:eastAsia="仿宋"/>
          <w:b w:val="0"/>
          <w:color w:val="222222"/>
          <w:sz w:val="32"/>
          <w:szCs w:val="32"/>
        </w:rPr>
      </w:pPr>
    </w:p>
    <w:p>
      <w:pPr>
        <w:spacing w:line="600" w:lineRule="exact"/>
        <w:rPr>
          <w:rFonts w:ascii="仿宋" w:eastAsia="仿宋"/>
          <w:sz w:val="32"/>
          <w:szCs w:val="32"/>
        </w:rPr>
      </w:pPr>
      <w:bookmarkStart w:id="0" w:name="_GoBack"/>
      <w:bookmarkEnd w:id="0"/>
    </w:p>
    <w:sectPr>
      <w:pgSz w:w="11907" w:h="16839"/>
      <w:pgMar w:top="1440" w:right="1800" w:bottom="1440" w:left="180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仿宋">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08FC8"/>
    <w:multiLevelType w:val="singleLevel"/>
    <w:tmpl w:val="58008FC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characterSpacingControl w:val="compressPunctuation"/>
  <w:compat>
    <w:spaceForUL/>
    <w:balanceSingleByteDoubleByteWidth/>
    <w:ulTrailSpace/>
    <w:doNotExpandShiftReturn/>
    <w:adjustLineHeightInTable/>
    <w:growAutofit/>
    <w:useFELayout/>
    <w:compatSetting w:name="compatibilityMode" w:uri="http://schemas.microsoft.com/office/word" w:val="12"/>
  </w:compat>
  <w:rsids>
    <w:rsidRoot w:val="009D6BFA"/>
    <w:rsid w:val="000C497D"/>
    <w:rsid w:val="009D6BFA"/>
    <w:rsid w:val="00CD2CA8"/>
    <w:rsid w:val="03465C2C"/>
    <w:rsid w:val="0F6C3E40"/>
    <w:rsid w:val="198476FB"/>
    <w:rsid w:val="435B12B8"/>
    <w:rsid w:val="6CD92573"/>
    <w:rsid w:val="759B36F1"/>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next w:val="1"/>
    <w:uiPriority w:val="0"/>
    <w:pPr>
      <w:spacing w:before="100" w:beforeAutospacing="1" w:after="100" w:afterAutospacing="1"/>
      <w:outlineLvl w:val="1"/>
    </w:pPr>
    <w:rPr>
      <w:rFonts w:ascii="宋体" w:hAnsi="Times New Roman" w:eastAsia="宋体" w:cs="Times New Roman"/>
      <w:b/>
      <w:sz w:val="36"/>
      <w:lang w:val="en-US" w:eastAsia="zh-CN" w:bidi="ar-SA"/>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uiPriority w:val="0"/>
    <w:rPr>
      <w:b/>
    </w:rPr>
  </w:style>
  <w:style w:type="character" w:customStyle="1" w:styleId="11">
    <w:name w:val="页眉 Char"/>
    <w:basedOn w:val="8"/>
    <w:link w:val="6"/>
    <w:qFormat/>
    <w:uiPriority w:val="0"/>
    <w:rPr>
      <w:kern w:val="2"/>
      <w:sz w:val="18"/>
      <w:szCs w:val="18"/>
    </w:rPr>
  </w:style>
  <w:style w:type="character" w:customStyle="1" w:styleId="12">
    <w:name w:val="页脚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217</Words>
  <Characters>1241</Characters>
  <Lines>10</Lines>
  <Paragraphs>2</Paragraphs>
  <TotalTime>0</TotalTime>
  <ScaleCrop>false</ScaleCrop>
  <LinksUpToDate>false</LinksUpToDate>
  <CharactersWithSpaces>1456</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2016-05-05T01:03:00Z</dcterms:created>
  <dc:creator>User</dc:creator>
  <cp:lastModifiedBy>Administrator</cp:lastModifiedBy>
  <cp:lastPrinted>2016-10-14T06:28:40Z</cp:lastPrinted>
  <dcterms:modified xsi:type="dcterms:W3CDTF">2016-10-14T06:29:06Z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